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1765" w14:textId="7036019E" w:rsidR="00904D78" w:rsidRPr="00904D78" w:rsidRDefault="00904D78" w:rsidP="00904D78">
      <w:pPr>
        <w:spacing w:after="0" w:line="400" w:lineRule="exact"/>
        <w:jc w:val="center"/>
        <w:rPr>
          <w:rFonts w:ascii="Arial Narrow" w:hAnsi="Arial Narrow" w:cs="Arial"/>
          <w:b/>
          <w:sz w:val="36"/>
          <w:szCs w:val="36"/>
        </w:rPr>
      </w:pPr>
      <w:r w:rsidRPr="00904D78">
        <w:rPr>
          <w:rFonts w:ascii="Arial Narrow" w:hAnsi="Arial Narrow" w:cs="Arial"/>
          <w:b/>
          <w:sz w:val="36"/>
          <w:szCs w:val="36"/>
        </w:rPr>
        <w:t>STUDIO ANAAO ASSOMED</w:t>
      </w:r>
    </w:p>
    <w:p w14:paraId="5C7A4785" w14:textId="740DC807" w:rsidR="00C45DD1" w:rsidRPr="003A6424" w:rsidRDefault="003A6424" w:rsidP="00904D78">
      <w:pPr>
        <w:spacing w:after="0" w:line="400" w:lineRule="exact"/>
        <w:jc w:val="center"/>
        <w:rPr>
          <w:rFonts w:ascii="Arial Narrow" w:hAnsi="Arial Narrow" w:cs="Arial"/>
          <w:b/>
          <w:color w:val="FF0000"/>
          <w:sz w:val="36"/>
          <w:szCs w:val="36"/>
        </w:rPr>
      </w:pPr>
      <w:r w:rsidRPr="003A6424">
        <w:rPr>
          <w:rFonts w:ascii="Arial Narrow" w:hAnsi="Arial Narrow" w:cs="Arial"/>
          <w:b/>
          <w:color w:val="FF0000"/>
          <w:sz w:val="36"/>
          <w:szCs w:val="36"/>
        </w:rPr>
        <w:t xml:space="preserve">GREAT RESIGNATION: </w:t>
      </w:r>
      <w:r w:rsidR="00904D78" w:rsidRPr="003A6424">
        <w:rPr>
          <w:rFonts w:ascii="Arial Narrow" w:hAnsi="Arial Narrow" w:cs="Arial"/>
          <w:b/>
          <w:color w:val="FF0000"/>
          <w:sz w:val="36"/>
          <w:szCs w:val="36"/>
        </w:rPr>
        <w:t>LA GRANDE FUGA DEI MEDICI DAL SSN.</w:t>
      </w:r>
    </w:p>
    <w:p w14:paraId="2363C40D" w14:textId="0EEEB069" w:rsidR="00904D78" w:rsidRPr="00904D78" w:rsidRDefault="00904D78" w:rsidP="00904D78">
      <w:pPr>
        <w:spacing w:after="0" w:line="400" w:lineRule="exact"/>
        <w:jc w:val="center"/>
        <w:rPr>
          <w:rFonts w:ascii="Arial Narrow" w:hAnsi="Arial Narrow" w:cs="Arial"/>
          <w:bCs/>
          <w:sz w:val="36"/>
          <w:szCs w:val="36"/>
        </w:rPr>
      </w:pPr>
      <w:r w:rsidRPr="00904D78">
        <w:rPr>
          <w:rFonts w:ascii="Arial Narrow" w:hAnsi="Arial Narrow" w:cs="Arial"/>
          <w:bCs/>
          <w:sz w:val="36"/>
          <w:szCs w:val="36"/>
        </w:rPr>
        <w:t>2</w:t>
      </w:r>
      <w:r w:rsidR="00186A72">
        <w:rPr>
          <w:rFonts w:ascii="Arial Narrow" w:hAnsi="Arial Narrow" w:cs="Arial"/>
          <w:bCs/>
          <w:sz w:val="36"/>
          <w:szCs w:val="36"/>
        </w:rPr>
        <w:t>1</w:t>
      </w:r>
      <w:r w:rsidRPr="00904D78">
        <w:rPr>
          <w:rFonts w:ascii="Arial Narrow" w:hAnsi="Arial Narrow" w:cs="Arial"/>
          <w:bCs/>
          <w:sz w:val="36"/>
          <w:szCs w:val="36"/>
        </w:rPr>
        <w:t xml:space="preserve"> aprile 2022</w:t>
      </w:r>
    </w:p>
    <w:p w14:paraId="5D417538" w14:textId="77777777" w:rsidR="00904D78" w:rsidRDefault="00904D78" w:rsidP="00904D78">
      <w:pPr>
        <w:spacing w:after="0" w:line="280" w:lineRule="exact"/>
        <w:jc w:val="both"/>
        <w:rPr>
          <w:rFonts w:ascii="Arial" w:hAnsi="Arial" w:cs="Arial"/>
          <w:b/>
          <w:sz w:val="20"/>
          <w:szCs w:val="20"/>
        </w:rPr>
      </w:pPr>
    </w:p>
    <w:p w14:paraId="4027ABA9" w14:textId="25868826" w:rsidR="00E559CB" w:rsidRPr="00904D78" w:rsidRDefault="00904D78" w:rsidP="00904D78">
      <w:pPr>
        <w:spacing w:after="0" w:line="280" w:lineRule="exact"/>
        <w:jc w:val="both"/>
        <w:rPr>
          <w:rFonts w:ascii="Arial" w:hAnsi="Arial" w:cs="Arial"/>
          <w:bCs/>
          <w:i/>
          <w:iCs/>
          <w:sz w:val="20"/>
          <w:szCs w:val="20"/>
        </w:rPr>
      </w:pPr>
      <w:r>
        <w:rPr>
          <w:rFonts w:ascii="Arial" w:hAnsi="Arial" w:cs="Arial"/>
          <w:bCs/>
          <w:i/>
          <w:iCs/>
          <w:sz w:val="20"/>
          <w:szCs w:val="20"/>
        </w:rPr>
        <w:t xml:space="preserve">A cura di </w:t>
      </w:r>
      <w:r w:rsidR="00E559CB" w:rsidRPr="00904D78">
        <w:rPr>
          <w:rFonts w:ascii="Arial" w:hAnsi="Arial" w:cs="Arial"/>
          <w:bCs/>
          <w:i/>
          <w:iCs/>
          <w:sz w:val="20"/>
          <w:szCs w:val="20"/>
        </w:rPr>
        <w:t>Carlo Palermo, Chiara Rivetti, Pierino Di Silverio, Costantino Troise</w:t>
      </w:r>
    </w:p>
    <w:p w14:paraId="3287CFA1" w14:textId="1F3531D3" w:rsidR="00C45DD1" w:rsidRPr="00904D78" w:rsidRDefault="00C45DD1" w:rsidP="00904D78">
      <w:pPr>
        <w:spacing w:after="0" w:line="280" w:lineRule="exact"/>
        <w:jc w:val="both"/>
        <w:rPr>
          <w:rFonts w:ascii="Arial" w:hAnsi="Arial" w:cs="Arial"/>
          <w:sz w:val="20"/>
          <w:szCs w:val="20"/>
        </w:rPr>
      </w:pPr>
    </w:p>
    <w:p w14:paraId="5D3F52BB" w14:textId="77777777"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Anche i medici sono vittime del fenomeno meglio noto con l’espressione “Great </w:t>
      </w:r>
      <w:proofErr w:type="spellStart"/>
      <w:r w:rsidRPr="00317F8C">
        <w:rPr>
          <w:rFonts w:ascii="Arial" w:eastAsia="Times New Roman" w:hAnsi="Arial" w:cs="Arial"/>
          <w:sz w:val="20"/>
          <w:szCs w:val="20"/>
        </w:rPr>
        <w:t>Resignation</w:t>
      </w:r>
      <w:proofErr w:type="spellEnd"/>
      <w:r w:rsidRPr="00317F8C">
        <w:rPr>
          <w:rFonts w:ascii="Arial" w:eastAsia="Times New Roman" w:hAnsi="Arial" w:cs="Arial"/>
          <w:sz w:val="20"/>
          <w:szCs w:val="20"/>
        </w:rPr>
        <w:t xml:space="preserve">”, il significativo aumento delle dimissioni, che vede un numero crescente di persone in numerosi ambiti lavorativi lasciare il loro impiego. Le cause che portano a questa drastica decisione sono le più svariate: </w:t>
      </w:r>
      <w:r w:rsidRPr="00317F8C">
        <w:rPr>
          <w:rFonts w:ascii="Arial" w:eastAsia="Times New Roman" w:hAnsi="Arial" w:cs="Arial"/>
          <w:bCs/>
          <w:sz w:val="20"/>
          <w:szCs w:val="20"/>
        </w:rPr>
        <w:t xml:space="preserve">dal burnout, alla ricerca di un posto che preservi il proprio benessere, al desiderio di poter avere la possibilità di gestire le giornate di lavoro difendendo il work-life balance. </w:t>
      </w:r>
      <w:r w:rsidRPr="00317F8C">
        <w:rPr>
          <w:rFonts w:ascii="Arial" w:eastAsia="Times New Roman" w:hAnsi="Arial" w:cs="Arial"/>
          <w:sz w:val="20"/>
          <w:szCs w:val="20"/>
        </w:rPr>
        <w:t>Complice dell’innesco di questo meccanismo è stata sicuramente la pandemia che ha nettamente peggiorato le condizioni di lavoro negli ospedali.</w:t>
      </w:r>
    </w:p>
    <w:p w14:paraId="6155BB74" w14:textId="53DF9A7E"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Il fenomeno delle dimissioni dagli ospedali, con i medici che decidono di abbandonare il tanto ambìto e prestigioso posto a tempo indeterminato, è una evidenza recente ed è stato da noi già analizzato in un precedente lavoro (La grande fuga dagli Ospedali; Quotidiano Sanità, 2021).</w:t>
      </w:r>
    </w:p>
    <w:p w14:paraId="31054415" w14:textId="513DE277"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Il fenomeno in </w:t>
      </w:r>
      <w:proofErr w:type="spellStart"/>
      <w:r w:rsidRPr="00317F8C">
        <w:rPr>
          <w:rFonts w:ascii="Arial" w:eastAsia="Times New Roman" w:hAnsi="Arial" w:cs="Arial"/>
          <w:sz w:val="20"/>
          <w:szCs w:val="20"/>
        </w:rPr>
        <w:t>sè</w:t>
      </w:r>
      <w:proofErr w:type="spellEnd"/>
      <w:r w:rsidRPr="00317F8C">
        <w:rPr>
          <w:rFonts w:ascii="Arial" w:eastAsia="Times New Roman" w:hAnsi="Arial" w:cs="Arial"/>
          <w:sz w:val="20"/>
          <w:szCs w:val="20"/>
        </w:rPr>
        <w:t xml:space="preserve"> non è nuovo ma i dati del Conto Annuale del Tesoro (CAT) evidenziano che dal 2017 in tutta Italia si assiste ad una sua vera e propria esplosione con un trend in progressivo aumento. </w:t>
      </w:r>
    </w:p>
    <w:p w14:paraId="4E25DAD4" w14:textId="77777777" w:rsidR="00317F8C" w:rsidRPr="00317F8C" w:rsidRDefault="00317F8C" w:rsidP="00317F8C">
      <w:pPr>
        <w:spacing w:after="0" w:line="280" w:lineRule="exact"/>
        <w:jc w:val="both"/>
        <w:rPr>
          <w:rFonts w:ascii="Arial" w:eastAsia="Times New Roman" w:hAnsi="Arial" w:cs="Arial"/>
          <w:sz w:val="20"/>
          <w:szCs w:val="20"/>
        </w:rPr>
      </w:pPr>
    </w:p>
    <w:p w14:paraId="3211A588" w14:textId="1D48CA90"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I dati del 2020 e del 2021, tratti dal database </w:t>
      </w:r>
      <w:proofErr w:type="spellStart"/>
      <w:r w:rsidRPr="00317F8C">
        <w:rPr>
          <w:rFonts w:ascii="Arial" w:eastAsia="Times New Roman" w:hAnsi="Arial" w:cs="Arial"/>
          <w:sz w:val="20"/>
          <w:szCs w:val="20"/>
        </w:rPr>
        <w:t>Onaosi</w:t>
      </w:r>
      <w:proofErr w:type="spellEnd"/>
      <w:r w:rsidRPr="00317F8C">
        <w:rPr>
          <w:rFonts w:ascii="Arial" w:eastAsia="Times New Roman" w:hAnsi="Arial" w:cs="Arial"/>
          <w:sz w:val="20"/>
          <w:szCs w:val="20"/>
        </w:rPr>
        <w:t xml:space="preserve">, confermano il persistere di una quota importante di licenziamenti (da 2000 a 3000) che si aggiungono alle uscite per pensionamento (tabella 1). </w:t>
      </w:r>
    </w:p>
    <w:p w14:paraId="0C8FBE19" w14:textId="77777777" w:rsidR="00317F8C" w:rsidRPr="00317F8C" w:rsidRDefault="00317F8C" w:rsidP="00317F8C">
      <w:pPr>
        <w:spacing w:after="0" w:line="280" w:lineRule="exact"/>
        <w:jc w:val="both"/>
        <w:rPr>
          <w:rFonts w:ascii="Arial" w:eastAsia="Times New Roman" w:hAnsi="Arial" w:cs="Arial"/>
          <w:sz w:val="20"/>
          <w:szCs w:val="20"/>
        </w:rPr>
      </w:pPr>
    </w:p>
    <w:p w14:paraId="6A082C51" w14:textId="493D1542"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Il 2020 è </w:t>
      </w:r>
      <w:proofErr w:type="spellStart"/>
      <w:r w:rsidRPr="00317F8C">
        <w:rPr>
          <w:rFonts w:ascii="Arial" w:eastAsia="Times New Roman" w:hAnsi="Arial" w:cs="Arial"/>
          <w:sz w:val="20"/>
          <w:szCs w:val="20"/>
        </w:rPr>
        <w:t>l’</w:t>
      </w:r>
      <w:r w:rsidRPr="00317F8C">
        <w:rPr>
          <w:rFonts w:ascii="Arial" w:eastAsia="Times New Roman" w:hAnsi="Arial" w:cs="Arial"/>
          <w:i/>
          <w:sz w:val="20"/>
          <w:szCs w:val="20"/>
        </w:rPr>
        <w:t>annus</w:t>
      </w:r>
      <w:proofErr w:type="spellEnd"/>
      <w:r w:rsidRPr="00317F8C">
        <w:rPr>
          <w:rFonts w:ascii="Arial" w:eastAsia="Times New Roman" w:hAnsi="Arial" w:cs="Arial"/>
          <w:i/>
          <w:sz w:val="20"/>
          <w:szCs w:val="20"/>
        </w:rPr>
        <w:t xml:space="preserve"> </w:t>
      </w:r>
      <w:proofErr w:type="spellStart"/>
      <w:r w:rsidRPr="00317F8C">
        <w:rPr>
          <w:rFonts w:ascii="Arial" w:eastAsia="Times New Roman" w:hAnsi="Arial" w:cs="Arial"/>
          <w:i/>
          <w:sz w:val="20"/>
          <w:szCs w:val="20"/>
        </w:rPr>
        <w:t>horribilis</w:t>
      </w:r>
      <w:proofErr w:type="spellEnd"/>
      <w:r w:rsidRPr="00317F8C">
        <w:rPr>
          <w:rFonts w:ascii="Arial" w:eastAsia="Times New Roman" w:hAnsi="Arial" w:cs="Arial"/>
          <w:sz w:val="20"/>
          <w:szCs w:val="20"/>
        </w:rPr>
        <w:t xml:space="preserve"> della prima ondata pandemica, e poi della seconda. A meno che il nuovo lavoro non fosse pianificato da tempo, i medici dipendenti hanno rallentato i licenziamenti per non abbandonare i </w:t>
      </w:r>
      <w:r w:rsidR="00702B95">
        <w:rPr>
          <w:rFonts w:ascii="Arial" w:eastAsia="Times New Roman" w:hAnsi="Arial" w:cs="Arial"/>
          <w:sz w:val="20"/>
          <w:szCs w:val="20"/>
        </w:rPr>
        <w:t>c</w:t>
      </w:r>
      <w:r w:rsidRPr="00317F8C">
        <w:rPr>
          <w:rFonts w:ascii="Arial" w:eastAsia="Times New Roman" w:hAnsi="Arial" w:cs="Arial"/>
          <w:sz w:val="20"/>
          <w:szCs w:val="20"/>
        </w:rPr>
        <w:t xml:space="preserve">olleghi proprio durante la peggiore crisi sanitaria dell’ultimo secolo affrontata da tutti con un ammirevole senso responsabilità, che ha valso loro l’appellativo di “eroi”. Purtroppo degli eroi ci si è presto dimenticati. </w:t>
      </w:r>
    </w:p>
    <w:p w14:paraId="1F3B16D9" w14:textId="77777777" w:rsidR="00317F8C" w:rsidRPr="00317F8C" w:rsidRDefault="00317F8C" w:rsidP="00317F8C">
      <w:pPr>
        <w:spacing w:after="0" w:line="280" w:lineRule="exact"/>
        <w:jc w:val="both"/>
        <w:rPr>
          <w:rFonts w:ascii="Arial" w:eastAsia="Times New Roman" w:hAnsi="Arial" w:cs="Arial"/>
          <w:sz w:val="20"/>
          <w:szCs w:val="20"/>
        </w:rPr>
      </w:pPr>
    </w:p>
    <w:p w14:paraId="37EF351D" w14:textId="77777777" w:rsid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Nelle ondate successive alla prima, i medici hanno lavorato sempre nella stessa approssimazione e improvvisazione organizzativa della primavera 2020. Letti, professionalità e persone riconvertiti a seconda delle necessità, senza alcuna condivisione delle decisioni. Operatori spostati come pedine, un nome in una casella, non di rado vuota, causa infezione da Sars-CoV-2.</w:t>
      </w:r>
    </w:p>
    <w:p w14:paraId="56991E6E" w14:textId="6ED56150"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br/>
        <w:t xml:space="preserve">Alla gestione dei malati Covid, per i medici ospedalieri si è aggiunto il carico della campagna vaccinale e del recupero di lunghissime liste d’attesa, oramai valutabili non più in mesi ma in anni, a causa del rallentamento delle attività ordinarie per far fronte alla pandemia. </w:t>
      </w:r>
    </w:p>
    <w:p w14:paraId="4B31373B" w14:textId="38E8437F"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Il tutto, con la aggiunta dell’enorme carico emotivo legato all’alto numero di contagi e alle morti per Covid tra gli stessi operatori sanitari, in un contesto che già lamentava pesanti carenze di organico (- 46 mila addetti tra il 2009 e il 2019). </w:t>
      </w:r>
    </w:p>
    <w:p w14:paraId="41723B1D" w14:textId="77777777" w:rsidR="00317F8C" w:rsidRPr="00317F8C" w:rsidRDefault="00317F8C" w:rsidP="00317F8C">
      <w:pPr>
        <w:spacing w:after="0" w:line="280" w:lineRule="exact"/>
        <w:jc w:val="both"/>
        <w:rPr>
          <w:rFonts w:ascii="Arial" w:eastAsia="Times New Roman" w:hAnsi="Arial" w:cs="Arial"/>
          <w:sz w:val="20"/>
          <w:szCs w:val="20"/>
        </w:rPr>
      </w:pPr>
    </w:p>
    <w:p w14:paraId="3A20A109" w14:textId="2E4876ED"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E dunque, nel 2021, riprende la grande fuga, come si evince dal grafico 1. </w:t>
      </w:r>
    </w:p>
    <w:p w14:paraId="10CE9E81" w14:textId="1664D30E" w:rsidR="00317F8C" w:rsidRPr="00317F8C" w:rsidRDefault="00317F8C" w:rsidP="00317F8C">
      <w:pPr>
        <w:spacing w:after="0" w:line="280" w:lineRule="exact"/>
        <w:jc w:val="both"/>
        <w:rPr>
          <w:rFonts w:ascii="Arial" w:eastAsia="Times New Roman" w:hAnsi="Arial" w:cs="Arial"/>
          <w:b/>
          <w:bCs/>
          <w:sz w:val="20"/>
          <w:szCs w:val="20"/>
        </w:rPr>
      </w:pPr>
      <w:r w:rsidRPr="00317F8C">
        <w:rPr>
          <w:rFonts w:ascii="Arial" w:eastAsia="Times New Roman" w:hAnsi="Arial" w:cs="Arial"/>
          <w:sz w:val="20"/>
          <w:szCs w:val="20"/>
        </w:rPr>
        <w:t>2886 medici</w:t>
      </w:r>
      <w:r w:rsidRPr="00DE67B0">
        <w:rPr>
          <w:rFonts w:ascii="Arial" w:eastAsia="Times New Roman" w:hAnsi="Arial" w:cs="Arial"/>
          <w:sz w:val="20"/>
          <w:szCs w:val="20"/>
        </w:rPr>
        <w:t xml:space="preserve"> </w:t>
      </w:r>
      <w:r w:rsidRPr="00317F8C">
        <w:rPr>
          <w:rFonts w:ascii="Arial" w:eastAsia="Times New Roman" w:hAnsi="Arial" w:cs="Arial"/>
          <w:sz w:val="20"/>
          <w:szCs w:val="20"/>
        </w:rPr>
        <w:t>ospedalieri, il 39% in più rispetto al 2020 ha deciso di lasciare la dipendenza dal SSN</w:t>
      </w:r>
      <w:r w:rsidRPr="00317F8C">
        <w:rPr>
          <w:rFonts w:ascii="Arial" w:eastAsia="Times New Roman" w:hAnsi="Arial" w:cs="Arial"/>
          <w:b/>
          <w:bCs/>
          <w:sz w:val="20"/>
          <w:szCs w:val="20"/>
        </w:rPr>
        <w:t xml:space="preserve"> </w:t>
      </w:r>
      <w:r w:rsidRPr="00317F8C">
        <w:rPr>
          <w:rFonts w:ascii="Arial" w:eastAsia="Times New Roman" w:hAnsi="Arial" w:cs="Arial"/>
          <w:sz w:val="20"/>
          <w:szCs w:val="20"/>
        </w:rPr>
        <w:t>e proseguire la propria attività professionale altrove*</w:t>
      </w:r>
      <w:r w:rsidRPr="00317F8C">
        <w:rPr>
          <w:rFonts w:ascii="Arial" w:eastAsia="Times New Roman" w:hAnsi="Arial" w:cs="Arial"/>
          <w:b/>
          <w:bCs/>
          <w:sz w:val="20"/>
          <w:szCs w:val="20"/>
        </w:rPr>
        <w:t xml:space="preserve"> </w:t>
      </w:r>
      <w:r w:rsidRPr="00317F8C">
        <w:rPr>
          <w:rFonts w:ascii="Arial" w:eastAsia="Times New Roman" w:hAnsi="Arial" w:cs="Arial"/>
          <w:sz w:val="20"/>
          <w:szCs w:val="20"/>
        </w:rPr>
        <w:t>(dati derivati dal database ONAOSI sulla cessazione della contribuzione obbligatoria)</w:t>
      </w:r>
      <w:r w:rsidRPr="00317F8C">
        <w:rPr>
          <w:rFonts w:ascii="Arial" w:eastAsia="Times New Roman" w:hAnsi="Arial" w:cs="Arial"/>
          <w:b/>
          <w:bCs/>
          <w:sz w:val="20"/>
          <w:szCs w:val="20"/>
        </w:rPr>
        <w:t xml:space="preserve">. </w:t>
      </w:r>
    </w:p>
    <w:p w14:paraId="61A3723C" w14:textId="1003C021"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Nel 2021 la media nazionale dei medici dipendenti che hanno deciso di licenziarsi è stata del 2,9%, percentuale abbondantemente superata dalla Calabria, 3.8%, e dalla Sicilia, 5.18%. La Lombardia, che era già oltre la media italiana nel 2020, aumenta ancora i suoi dimessi del 43%. La Liguria in un anno triplica i medici che si dimettono, la Puglia passa dal 2.04% al 3.29 %.</w:t>
      </w:r>
    </w:p>
    <w:p w14:paraId="56624A8D" w14:textId="77777777"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Una fuga senza precedenti, da regioni con storie, organizzazioni e realtà sanitarie completamente diverse. Ma unite da un comune sentire: i medici non vogliono più lavorare in ospedale e se ne vanno.</w:t>
      </w:r>
    </w:p>
    <w:p w14:paraId="13D2EC80" w14:textId="3B13BC47"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lastRenderedPageBreak/>
        <w:t xml:space="preserve">Cosa cercano? La domanda sarebbe d’obbligo, per chi volesse in qualche modo limitare la fuga, salvare la nave che affonda. </w:t>
      </w:r>
    </w:p>
    <w:p w14:paraId="1DC7A5D8" w14:textId="1BF0D6DB"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Cercano orari più flessibili, maggiore autonomia professionale, minore burocrazia. Cercano un sistema che valorizzi le loro competenze, un lavoro che permetta di dedicare più tempo ai pazienti e poter avere a disposizione più tempo anche per la propria vita privata, senza sacrificare la famiglia.</w:t>
      </w:r>
    </w:p>
    <w:p w14:paraId="016F4CB4" w14:textId="77777777" w:rsidR="00317F8C" w:rsidRPr="00317F8C" w:rsidRDefault="00317F8C" w:rsidP="00317F8C">
      <w:pPr>
        <w:spacing w:after="0" w:line="280" w:lineRule="exact"/>
        <w:jc w:val="both"/>
        <w:rPr>
          <w:rFonts w:ascii="Arial" w:eastAsia="Times New Roman" w:hAnsi="Arial" w:cs="Arial"/>
          <w:sz w:val="20"/>
          <w:szCs w:val="20"/>
        </w:rPr>
      </w:pPr>
    </w:p>
    <w:p w14:paraId="0F3223EB" w14:textId="14EE5664"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Raramente la motivazione principale è la maggiore remunerazione. Ma la mancata applicazione in periferia del CCNL 2016/2018, firmato definitivamente nel lontano 19</w:t>
      </w:r>
      <w:r w:rsidR="00A308BE">
        <w:rPr>
          <w:rFonts w:ascii="Arial" w:eastAsia="Times New Roman" w:hAnsi="Arial" w:cs="Arial"/>
          <w:sz w:val="20"/>
          <w:szCs w:val="20"/>
        </w:rPr>
        <w:t xml:space="preserve"> dicembre </w:t>
      </w:r>
      <w:r w:rsidRPr="00317F8C">
        <w:rPr>
          <w:rFonts w:ascii="Arial" w:eastAsia="Times New Roman" w:hAnsi="Arial" w:cs="Arial"/>
          <w:sz w:val="20"/>
          <w:szCs w:val="20"/>
        </w:rPr>
        <w:t>2019, la latitanza del CCNL 2019/2021, già scaduto ma nemmeno avviato alla contrattazione per mancanza dell’Atto di Indirizzo e il rinvio a un incerto futuro del CCNL 2022/2024 non possono che influire negativamente sulle scelte dei Colleghi, che decidono di abbandonare il luogo di lavoro per la scarsa considerazione che il sistema mostra nei loro confronti. Del resto, le remunerazioni, anche a causa del blocco contrattuale ultradecennale, oramai sono ridotte a circa il 50% di quelle che offrono i paesi dell’ovest europeo, che entreranno in diretta competizione con l’Italia nella ricerca di personale sanitario nei prossimi anni</w:t>
      </w:r>
      <w:r w:rsidRPr="00317F8C">
        <w:rPr>
          <w:rFonts w:ascii="Arial" w:eastAsia="Times New Roman" w:hAnsi="Arial" w:cs="Arial"/>
          <w:b/>
          <w:sz w:val="20"/>
          <w:szCs w:val="20"/>
        </w:rPr>
        <w:t xml:space="preserve">, </w:t>
      </w:r>
      <w:r w:rsidRPr="00317F8C">
        <w:rPr>
          <w:rFonts w:ascii="Arial" w:eastAsia="Times New Roman" w:hAnsi="Arial" w:cs="Arial"/>
          <w:sz w:val="20"/>
          <w:szCs w:val="20"/>
        </w:rPr>
        <w:t>potendo godere di una situazione di evidente vantaggio per la maggiore valorizzazione delle capacità professionali oltre che per gli alti salari.</w:t>
      </w:r>
    </w:p>
    <w:p w14:paraId="5CE02FD6" w14:textId="77777777" w:rsidR="00317F8C" w:rsidRPr="00317F8C" w:rsidRDefault="00317F8C" w:rsidP="00317F8C">
      <w:pPr>
        <w:spacing w:after="0" w:line="280" w:lineRule="exact"/>
        <w:jc w:val="both"/>
        <w:rPr>
          <w:rFonts w:ascii="Arial" w:eastAsia="Times New Roman" w:hAnsi="Arial" w:cs="Arial"/>
          <w:sz w:val="20"/>
          <w:szCs w:val="20"/>
        </w:rPr>
      </w:pPr>
    </w:p>
    <w:p w14:paraId="119896B0" w14:textId="1F980870"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Anche a causa del blocco del turnover, i turni di servizio per i singoli operatori sono in netto incremento numerico negli ospedali italiani, con weekend quasi tutti occupati da guardie e reperibilità, difficoltà perfino nel godere delle ferie maturate, straordinari non retribuiti. Il lavoro non solo è diventato sempre più gravoso ma gli operatori sanitari sono costretti quotidianamente ad affrontare rischi crescenti legati ad aggressioni, sia verbali che fisiche, e denunce in sede legale. In particolare è da considerare che la presenza delle donne in sanità è in progressivo aumento e i turni disagevoli previsti dal lavoro in ospedale non consentono loro di dedicarsi alla famiglia come vorrebbero.</w:t>
      </w:r>
    </w:p>
    <w:p w14:paraId="26886AD5" w14:textId="77777777" w:rsidR="00317F8C" w:rsidRPr="00317F8C" w:rsidRDefault="00317F8C" w:rsidP="00317F8C">
      <w:pPr>
        <w:spacing w:after="0" w:line="280" w:lineRule="exact"/>
        <w:jc w:val="both"/>
        <w:rPr>
          <w:rFonts w:ascii="Arial" w:eastAsia="Times New Roman" w:hAnsi="Arial" w:cs="Arial"/>
          <w:b/>
          <w:sz w:val="20"/>
          <w:szCs w:val="20"/>
        </w:rPr>
      </w:pPr>
    </w:p>
    <w:p w14:paraId="25D986C6" w14:textId="7923019C" w:rsidR="00317F8C" w:rsidRPr="00317F8C" w:rsidRDefault="00317F8C" w:rsidP="00317F8C">
      <w:pPr>
        <w:spacing w:after="0" w:line="280" w:lineRule="exact"/>
        <w:jc w:val="both"/>
        <w:rPr>
          <w:rFonts w:ascii="Arial" w:eastAsia="Times New Roman" w:hAnsi="Arial" w:cs="Arial"/>
          <w:bCs/>
          <w:sz w:val="20"/>
          <w:szCs w:val="20"/>
        </w:rPr>
      </w:pPr>
      <w:r w:rsidRPr="00317F8C">
        <w:rPr>
          <w:rFonts w:ascii="Arial" w:eastAsia="Times New Roman" w:hAnsi="Arial" w:cs="Arial"/>
          <w:sz w:val="20"/>
          <w:szCs w:val="20"/>
        </w:rPr>
        <w:t xml:space="preserve">Anche le possibilità di carriera sono state rese scarse: </w:t>
      </w:r>
      <w:r w:rsidRPr="00317F8C">
        <w:rPr>
          <w:rFonts w:ascii="Arial" w:eastAsia="Times New Roman" w:hAnsi="Arial" w:cs="Arial"/>
          <w:bCs/>
          <w:sz w:val="20"/>
          <w:szCs w:val="20"/>
        </w:rPr>
        <w:t xml:space="preserve">in Italia nel 2009 i direttori di Struttura Complessa, </w:t>
      </w:r>
      <w:r w:rsidRPr="00317F8C">
        <w:rPr>
          <w:rFonts w:ascii="Arial" w:eastAsia="Times New Roman" w:hAnsi="Arial" w:cs="Arial"/>
          <w:sz w:val="20"/>
          <w:szCs w:val="20"/>
        </w:rPr>
        <w:t>cioè l’apice della carriera professionale,</w:t>
      </w:r>
      <w:r w:rsidRPr="00317F8C">
        <w:rPr>
          <w:rFonts w:ascii="Arial" w:eastAsia="Times New Roman" w:hAnsi="Arial" w:cs="Arial"/>
          <w:bCs/>
          <w:sz w:val="20"/>
          <w:szCs w:val="20"/>
        </w:rPr>
        <w:t xml:space="preserve"> </w:t>
      </w:r>
      <w:r w:rsidRPr="00317F8C">
        <w:rPr>
          <w:rFonts w:ascii="Arial" w:eastAsia="Times New Roman" w:hAnsi="Arial" w:cs="Arial"/>
          <w:sz w:val="20"/>
          <w:szCs w:val="20"/>
        </w:rPr>
        <w:t>erano 9691, nel 2019 solo 6629,</w:t>
      </w:r>
      <w:r w:rsidRPr="00317F8C">
        <w:rPr>
          <w:rFonts w:ascii="Arial" w:eastAsia="Times New Roman" w:hAnsi="Arial" w:cs="Arial"/>
          <w:bCs/>
          <w:sz w:val="20"/>
          <w:szCs w:val="20"/>
        </w:rPr>
        <w:t xml:space="preserve"> il 31,5% in meno. I Responsabili di Struttura Semplice, </w:t>
      </w:r>
      <w:r w:rsidRPr="00317F8C">
        <w:rPr>
          <w:rFonts w:ascii="Arial" w:eastAsia="Times New Roman" w:hAnsi="Arial" w:cs="Arial"/>
          <w:sz w:val="20"/>
          <w:szCs w:val="20"/>
        </w:rPr>
        <w:t>il livello immediatamente inferiore, nel 2009 erano 18.536,</w:t>
      </w:r>
      <w:r w:rsidRPr="00317F8C">
        <w:rPr>
          <w:rFonts w:ascii="Arial" w:eastAsia="Times New Roman" w:hAnsi="Arial" w:cs="Arial"/>
          <w:bCs/>
          <w:sz w:val="20"/>
          <w:szCs w:val="20"/>
        </w:rPr>
        <w:t xml:space="preserve"> dopo 10 anni il 44% in meno, </w:t>
      </w:r>
      <w:r w:rsidRPr="00317F8C">
        <w:rPr>
          <w:rFonts w:ascii="Arial" w:eastAsia="Times New Roman" w:hAnsi="Arial" w:cs="Arial"/>
          <w:sz w:val="20"/>
          <w:szCs w:val="20"/>
        </w:rPr>
        <w:t>cioè 10.368</w:t>
      </w:r>
      <w:r w:rsidRPr="00317F8C">
        <w:rPr>
          <w:rFonts w:ascii="Arial" w:eastAsia="Times New Roman" w:hAnsi="Arial" w:cs="Arial"/>
          <w:bCs/>
          <w:sz w:val="20"/>
          <w:szCs w:val="20"/>
        </w:rPr>
        <w:t>.</w:t>
      </w:r>
    </w:p>
    <w:p w14:paraId="2514338C" w14:textId="66CB8A9B" w:rsidR="00317F8C" w:rsidRPr="00317F8C" w:rsidRDefault="00317F8C" w:rsidP="00317F8C">
      <w:pPr>
        <w:spacing w:after="0" w:line="280" w:lineRule="exact"/>
        <w:jc w:val="both"/>
        <w:rPr>
          <w:rFonts w:ascii="Arial" w:eastAsia="Times New Roman" w:hAnsi="Arial" w:cs="Arial"/>
          <w:b/>
          <w:bCs/>
          <w:sz w:val="20"/>
          <w:szCs w:val="20"/>
        </w:rPr>
      </w:pPr>
      <w:r w:rsidRPr="00317F8C">
        <w:rPr>
          <w:rFonts w:ascii="Arial" w:eastAsia="Times New Roman" w:hAnsi="Arial" w:cs="Arial"/>
          <w:bCs/>
          <w:sz w:val="20"/>
          <w:szCs w:val="20"/>
        </w:rPr>
        <w:t>Se si passa poi al ruolo dei Dirigenti medici nelle Aziende si può constatare un considerevole svilimento della loro autonomia decisionale con assente coinvolgimento nei processi decisionali mentre la professionalità risulta poco premiata e per nulla incentivata. In questo contesto, il lavoro dei Medici non solo ha perso valore economico, ma anche sociale</w:t>
      </w:r>
      <w:r w:rsidRPr="00317F8C">
        <w:rPr>
          <w:rFonts w:ascii="Arial" w:eastAsia="Times New Roman" w:hAnsi="Arial" w:cs="Arial"/>
          <w:b/>
          <w:bCs/>
          <w:sz w:val="20"/>
          <w:szCs w:val="20"/>
        </w:rPr>
        <w:t xml:space="preserve">. </w:t>
      </w:r>
    </w:p>
    <w:p w14:paraId="130A3EA1" w14:textId="5A77456B"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bCs/>
          <w:sz w:val="20"/>
          <w:szCs w:val="20"/>
        </w:rPr>
        <w:t xml:space="preserve">Il privato, pertanto, diventa sempre più attrattivo, anche per la possibilità di un trattamento fiscale agevolato del reddito prodotto. Per la medicina di famiglia o specialistica ambulatoriale si aggiunge il fatto di non prevedere il lavoro notturno e festivo. Soprattutto, </w:t>
      </w:r>
      <w:r w:rsidRPr="00317F8C">
        <w:rPr>
          <w:rFonts w:ascii="Arial" w:eastAsia="Times New Roman" w:hAnsi="Arial" w:cs="Arial"/>
          <w:sz w:val="20"/>
          <w:szCs w:val="20"/>
        </w:rPr>
        <w:t>il lavoro nel privato è considerato meno stressante: si affronta una casistica di elezione e la remunerazione, particolarmente in ambito chirurgico, è elevata. Il cambiamento culturale e sociologico è così forte che sempre di più i neo laureati ambiscono a specializzazioni spendibili sul mercato privato (cardiologia, dermatologia, pediatria, oculistica, chirurgia plastica…), allontanandosi da quelle considerate più gravose e rischiose (Medicina di Emergenza/Urgenza, Chirurgia Generale…) che non riescono più a saturare i contratti di formazione disponibili annualmente.</w:t>
      </w:r>
    </w:p>
    <w:p w14:paraId="2CAF041F" w14:textId="77777777" w:rsidR="00317F8C" w:rsidRPr="00317F8C" w:rsidRDefault="00317F8C" w:rsidP="00317F8C">
      <w:pPr>
        <w:spacing w:after="0" w:line="280" w:lineRule="exact"/>
        <w:jc w:val="both"/>
        <w:rPr>
          <w:rFonts w:ascii="Arial" w:eastAsia="Times New Roman" w:hAnsi="Arial" w:cs="Arial"/>
          <w:sz w:val="20"/>
          <w:szCs w:val="20"/>
        </w:rPr>
      </w:pPr>
    </w:p>
    <w:p w14:paraId="0B1165E2" w14:textId="7C3C6D65"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Sono questi i fattori che sostengono il dato riscontrato in varie ricerche di un </w:t>
      </w:r>
      <w:r w:rsidRPr="00317F8C">
        <w:rPr>
          <w:rFonts w:ascii="Arial" w:eastAsia="Times New Roman" w:hAnsi="Arial" w:cs="Arial"/>
          <w:i/>
          <w:sz w:val="20"/>
          <w:szCs w:val="20"/>
        </w:rPr>
        <w:t>burnout</w:t>
      </w:r>
      <w:r w:rsidRPr="00317F8C">
        <w:rPr>
          <w:rFonts w:ascii="Arial" w:eastAsia="Times New Roman" w:hAnsi="Arial" w:cs="Arial"/>
          <w:sz w:val="20"/>
          <w:szCs w:val="20"/>
        </w:rPr>
        <w:t xml:space="preserve"> in incremento tra gli operatori sanitari e di malattie stress correlate sempre più diffuse. Le dimissioni volontarie in questo contesto assumono il significato di un tentativo di sottrarsi ad un lavoro usurante e poco gratificante, caratterizzato da scarsi riconoscimenti e da un carico, anche emotivo, troppo elevato.</w:t>
      </w:r>
    </w:p>
    <w:p w14:paraId="357E35D7" w14:textId="12F17197" w:rsidR="00317F8C" w:rsidRPr="00317F8C" w:rsidRDefault="00317F8C" w:rsidP="00317F8C">
      <w:pPr>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 xml:space="preserve">La drammatica esperienza di aver gestito le ondate pandemiche senza poi assistere a un concreto investimento nella sanità pubblica, soverchiati da slogan da propaganda, ha definitivamente tolto ogni illusione di cambiamento. Di fatto, il PNRR si sta rivelando un’operazione edilizia ed il rapporto spesa sanitaria/PIL scenderà sino 6,2% nel 2025, meno di quello che era prima della pandemia. </w:t>
      </w:r>
    </w:p>
    <w:p w14:paraId="45E44F6C" w14:textId="0B033AB8" w:rsidR="00317F8C" w:rsidRDefault="00317F8C" w:rsidP="00317F8C">
      <w:pPr>
        <w:shd w:val="clear" w:color="auto" w:fill="FFFFFF"/>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lastRenderedPageBreak/>
        <w:t>Il quadro che emerge lascia presagire il progressivo declino della sanità universalistica, per come la conosciamo. Si dovrebbe considerare, infatti, che il livello attuale delle uscite (pensionamenti + dimissioni volontarie) è tale da mettere seriamente in pericolo la tenuta del SSN visto che di fronte ad uscite di circa 7.000 medici specialisti ogni anno, l’attuale capacità formativa della Università è pari a circa 6.000 neo specialisti, di cui solo il 65% accetterebbe un contratto di lavoro con il SSN.</w:t>
      </w:r>
    </w:p>
    <w:p w14:paraId="15F053AD" w14:textId="77777777" w:rsidR="00317F8C" w:rsidRPr="00317F8C" w:rsidRDefault="00317F8C" w:rsidP="00317F8C">
      <w:pPr>
        <w:shd w:val="clear" w:color="auto" w:fill="FFFFFF"/>
        <w:spacing w:after="0" w:line="280" w:lineRule="exact"/>
        <w:jc w:val="both"/>
        <w:rPr>
          <w:rFonts w:ascii="Arial" w:eastAsia="Times New Roman" w:hAnsi="Arial" w:cs="Arial"/>
          <w:sz w:val="20"/>
          <w:szCs w:val="20"/>
        </w:rPr>
      </w:pPr>
    </w:p>
    <w:p w14:paraId="62C7C5AA" w14:textId="64872D55" w:rsidR="00317F8C" w:rsidRPr="00317F8C" w:rsidRDefault="00317F8C" w:rsidP="00317F8C">
      <w:pPr>
        <w:shd w:val="clear" w:color="auto" w:fill="FFFFFF"/>
        <w:spacing w:after="0" w:line="280" w:lineRule="exact"/>
        <w:jc w:val="both"/>
        <w:rPr>
          <w:rFonts w:ascii="Arial" w:eastAsia="Times New Roman" w:hAnsi="Arial" w:cs="Arial"/>
          <w:sz w:val="20"/>
          <w:szCs w:val="20"/>
        </w:rPr>
      </w:pPr>
      <w:r w:rsidRPr="00317F8C">
        <w:rPr>
          <w:rFonts w:ascii="Arial" w:eastAsia="Times New Roman" w:hAnsi="Arial" w:cs="Arial"/>
          <w:sz w:val="20"/>
          <w:szCs w:val="20"/>
        </w:rPr>
        <w:t>Per evitare il disastro è necessario procedere alla rapida stabilizzazione del precariato e serve un cambiamento radicale nella formazione post-laurea. Occorre, in pratica, anticipare l’incontro tra il mondo della formazione e quello del lavoro, oggi estranei l’uno all’altro, animati da conflittualità latenti o manifeste e contenziosi infiniti, consentendo ai giovani medici specializzandi di raggiungere il massimo della tutela previdenziale e al sistema sanitario di utilizzare le energie più fresche per far fronte ad una importante carenza che si prolungherà ulteriormente per almeno tre anni. La soluzione consiste nella trasformazione del contratto di formazione attuale in un contratto a tempo determinato di formazione/lavoro con oneri previdenziali e accessori a carico delle Regioni e nel conseguente inserimento dei giovani medici nella rete ospedaliera regionale. Recuperare il ruolo professionalizzante degli ospedali rappresenta la strada maestra per garantire insieme il futuro dei giovani medici e quello dei sistemi sanitari.</w:t>
      </w:r>
    </w:p>
    <w:p w14:paraId="7B572A9C" w14:textId="16F712CB" w:rsidR="00C92846" w:rsidRDefault="00C92846" w:rsidP="00904D78">
      <w:pPr>
        <w:pStyle w:val="NormaleWeb"/>
        <w:shd w:val="clear" w:color="auto" w:fill="FFFFFF"/>
        <w:spacing w:before="0" w:beforeAutospacing="0" w:after="0" w:afterAutospacing="0" w:line="280" w:lineRule="exact"/>
        <w:jc w:val="both"/>
        <w:rPr>
          <w:rFonts w:ascii="Arial" w:eastAsiaTheme="minorHAnsi" w:hAnsi="Arial" w:cs="Arial"/>
          <w:sz w:val="20"/>
          <w:szCs w:val="20"/>
          <w:lang w:eastAsia="en-US"/>
        </w:rPr>
      </w:pPr>
    </w:p>
    <w:p w14:paraId="7CE77E8D" w14:textId="5C5F1067" w:rsidR="00B73485" w:rsidRDefault="00B73485" w:rsidP="00B73485">
      <w:pPr>
        <w:spacing w:after="0" w:line="280" w:lineRule="exact"/>
        <w:jc w:val="both"/>
        <w:rPr>
          <w:rFonts w:ascii="Arial" w:hAnsi="Arial" w:cs="Arial"/>
          <w:b/>
          <w:sz w:val="20"/>
          <w:szCs w:val="20"/>
        </w:rPr>
      </w:pPr>
      <w:r w:rsidRPr="00904D78">
        <w:rPr>
          <w:rFonts w:ascii="Arial" w:hAnsi="Arial" w:cs="Arial"/>
          <w:b/>
          <w:sz w:val="20"/>
          <w:szCs w:val="20"/>
        </w:rPr>
        <w:t>Tabella 1: Uscite dal SSN dal 2019 al 2021 per raggiunti limiti previdenziali o licenziamenti</w:t>
      </w:r>
    </w:p>
    <w:p w14:paraId="46051C54" w14:textId="75802F41" w:rsidR="00B73485" w:rsidRDefault="00B73485" w:rsidP="00B73485">
      <w:pPr>
        <w:spacing w:after="0" w:line="280" w:lineRule="exact"/>
        <w:jc w:val="both"/>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05CC713C" wp14:editId="1587B6F5">
                <wp:simplePos x="0" y="0"/>
                <wp:positionH relativeFrom="column">
                  <wp:posOffset>41910</wp:posOffset>
                </wp:positionH>
                <wp:positionV relativeFrom="paragraph">
                  <wp:posOffset>141605</wp:posOffset>
                </wp:positionV>
                <wp:extent cx="6076950" cy="1400175"/>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076950" cy="1400175"/>
                        </a:xfrm>
                        <a:prstGeom prst="rect">
                          <a:avLst/>
                        </a:prstGeom>
                        <a:noFill/>
                        <a:ln w="6350">
                          <a:noFill/>
                        </a:ln>
                      </wps:spPr>
                      <wps:txbx>
                        <w:txbxContent>
                          <w:tbl>
                            <w:tblPr>
                              <w:tblStyle w:val="Sfondochiaro-Colore5"/>
                              <w:tblW w:w="0" w:type="auto"/>
                              <w:tblLook w:val="04A0" w:firstRow="1" w:lastRow="0" w:firstColumn="1" w:lastColumn="0" w:noHBand="0" w:noVBand="1"/>
                            </w:tblPr>
                            <w:tblGrid>
                              <w:gridCol w:w="4221"/>
                              <w:gridCol w:w="3312"/>
                              <w:gridCol w:w="1954"/>
                            </w:tblGrid>
                            <w:tr w:rsidR="00B73485" w:rsidRPr="00904D78" w14:paraId="419E0072" w14:textId="77777777" w:rsidTr="00B73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1" w:type="dxa"/>
                                </w:tcPr>
                                <w:p w14:paraId="71F7323B" w14:textId="599B0204" w:rsidR="00B73485" w:rsidRPr="00904D78" w:rsidRDefault="00F00595" w:rsidP="00B73485">
                                  <w:pPr>
                                    <w:spacing w:line="280" w:lineRule="exact"/>
                                    <w:jc w:val="both"/>
                                    <w:rPr>
                                      <w:rFonts w:ascii="Arial" w:hAnsi="Arial" w:cs="Arial"/>
                                      <w:sz w:val="20"/>
                                      <w:szCs w:val="20"/>
                                    </w:rPr>
                                  </w:pPr>
                                  <w:r>
                                    <w:rPr>
                                      <w:rFonts w:ascii="Arial" w:hAnsi="Arial" w:cs="Arial"/>
                                      <w:sz w:val="20"/>
                                      <w:szCs w:val="20"/>
                                    </w:rPr>
                                    <w:t xml:space="preserve">                    </w:t>
                                  </w:r>
                                  <w:r w:rsidR="00B73485" w:rsidRPr="00904D78">
                                    <w:rPr>
                                      <w:rFonts w:ascii="Arial" w:hAnsi="Arial" w:cs="Arial"/>
                                      <w:sz w:val="20"/>
                                      <w:szCs w:val="20"/>
                                    </w:rPr>
                                    <w:t>Pensionamenti*</w:t>
                                  </w:r>
                                </w:p>
                              </w:tc>
                              <w:tc>
                                <w:tcPr>
                                  <w:tcW w:w="3312" w:type="dxa"/>
                                </w:tcPr>
                                <w:p w14:paraId="334EED2E" w14:textId="77777777" w:rsidR="00B73485" w:rsidRPr="00904D78" w:rsidRDefault="00B73485" w:rsidP="00B73485">
                                  <w:pPr>
                                    <w:spacing w:line="28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04D78">
                                    <w:rPr>
                                      <w:rFonts w:ascii="Arial" w:hAnsi="Arial" w:cs="Arial"/>
                                      <w:sz w:val="20"/>
                                      <w:szCs w:val="20"/>
                                    </w:rPr>
                                    <w:t>Licenziamenti**</w:t>
                                  </w:r>
                                </w:p>
                              </w:tc>
                              <w:tc>
                                <w:tcPr>
                                  <w:tcW w:w="1954" w:type="dxa"/>
                                </w:tcPr>
                                <w:p w14:paraId="75EDDF57" w14:textId="77777777" w:rsidR="00B73485" w:rsidRPr="00904D78" w:rsidRDefault="00B73485" w:rsidP="00B73485">
                                  <w:pPr>
                                    <w:spacing w:line="28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04D78">
                                    <w:rPr>
                                      <w:rFonts w:ascii="Arial" w:hAnsi="Arial" w:cs="Arial"/>
                                      <w:sz w:val="20"/>
                                      <w:szCs w:val="20"/>
                                    </w:rPr>
                                    <w:t>Dati</w:t>
                                  </w:r>
                                </w:p>
                              </w:tc>
                            </w:tr>
                            <w:tr w:rsidR="00B73485" w:rsidRPr="00904D78" w14:paraId="73D1DD36" w14:textId="77777777" w:rsidTr="00B7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1" w:type="dxa"/>
                                </w:tcPr>
                                <w:p w14:paraId="6583E85C" w14:textId="02B41F1D" w:rsidR="00B73485" w:rsidRPr="00904D78" w:rsidRDefault="00B73485" w:rsidP="00B73485">
                                  <w:pPr>
                                    <w:spacing w:line="280" w:lineRule="exact"/>
                                    <w:jc w:val="both"/>
                                    <w:rPr>
                                      <w:rFonts w:ascii="Arial" w:hAnsi="Arial" w:cs="Arial"/>
                                      <w:sz w:val="20"/>
                                      <w:szCs w:val="20"/>
                                    </w:rPr>
                                  </w:pPr>
                                  <w:r w:rsidRPr="00904D78">
                                    <w:rPr>
                                      <w:rFonts w:ascii="Arial" w:hAnsi="Arial" w:cs="Arial"/>
                                      <w:sz w:val="20"/>
                                      <w:szCs w:val="20"/>
                                    </w:rPr>
                                    <w:t>2019</w:t>
                                  </w:r>
                                  <w:r>
                                    <w:rPr>
                                      <w:rFonts w:ascii="Arial" w:hAnsi="Arial" w:cs="Arial"/>
                                      <w:sz w:val="20"/>
                                      <w:szCs w:val="20"/>
                                    </w:rPr>
                                    <w:t xml:space="preserve"> </w:t>
                                  </w:r>
                                  <w:r w:rsidR="00F00595">
                                    <w:rPr>
                                      <w:rFonts w:ascii="Arial" w:hAnsi="Arial" w:cs="Arial"/>
                                      <w:sz w:val="20"/>
                                      <w:szCs w:val="20"/>
                                    </w:rPr>
                                    <w:t xml:space="preserve">                 </w:t>
                                  </w:r>
                                  <w:r w:rsidRPr="00904D78">
                                    <w:rPr>
                                      <w:rFonts w:ascii="Arial" w:hAnsi="Arial" w:cs="Arial"/>
                                      <w:sz w:val="20"/>
                                      <w:szCs w:val="20"/>
                                    </w:rPr>
                                    <w:t>4598</w:t>
                                  </w:r>
                                </w:p>
                              </w:tc>
                              <w:tc>
                                <w:tcPr>
                                  <w:tcW w:w="3312" w:type="dxa"/>
                                </w:tcPr>
                                <w:p w14:paraId="1075EE30" w14:textId="77777777"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4D78">
                                    <w:rPr>
                                      <w:rFonts w:ascii="Arial" w:hAnsi="Arial" w:cs="Arial"/>
                                      <w:b/>
                                      <w:sz w:val="20"/>
                                      <w:szCs w:val="20"/>
                                    </w:rPr>
                                    <w:t>3123</w:t>
                                  </w:r>
                                </w:p>
                              </w:tc>
                              <w:tc>
                                <w:tcPr>
                                  <w:tcW w:w="1954" w:type="dxa"/>
                                </w:tcPr>
                                <w:p w14:paraId="173F55F9" w14:textId="77777777"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04D78">
                                    <w:rPr>
                                      <w:rFonts w:ascii="Arial" w:hAnsi="Arial" w:cs="Arial"/>
                                      <w:sz w:val="20"/>
                                      <w:szCs w:val="20"/>
                                    </w:rPr>
                                    <w:t>CAT</w:t>
                                  </w:r>
                                </w:p>
                              </w:tc>
                            </w:tr>
                            <w:tr w:rsidR="00B73485" w:rsidRPr="00904D78" w14:paraId="62BC21B4" w14:textId="77777777" w:rsidTr="00B73485">
                              <w:tc>
                                <w:tcPr>
                                  <w:cnfStyle w:val="001000000000" w:firstRow="0" w:lastRow="0" w:firstColumn="1" w:lastColumn="0" w:oddVBand="0" w:evenVBand="0" w:oddHBand="0" w:evenHBand="0" w:firstRowFirstColumn="0" w:firstRowLastColumn="0" w:lastRowFirstColumn="0" w:lastRowLastColumn="0"/>
                                  <w:tcW w:w="4221" w:type="dxa"/>
                                </w:tcPr>
                                <w:p w14:paraId="552063D1" w14:textId="4DE2A893" w:rsidR="00B73485" w:rsidRPr="00904D78" w:rsidRDefault="00B73485" w:rsidP="00B73485">
                                  <w:pPr>
                                    <w:spacing w:line="280" w:lineRule="exact"/>
                                    <w:jc w:val="both"/>
                                    <w:rPr>
                                      <w:rFonts w:ascii="Arial" w:hAnsi="Arial" w:cs="Arial"/>
                                      <w:sz w:val="20"/>
                                      <w:szCs w:val="20"/>
                                    </w:rPr>
                                  </w:pPr>
                                  <w:r w:rsidRPr="00904D78">
                                    <w:rPr>
                                      <w:rFonts w:ascii="Arial" w:hAnsi="Arial" w:cs="Arial"/>
                                      <w:sz w:val="20"/>
                                      <w:szCs w:val="20"/>
                                    </w:rPr>
                                    <w:t>2020</w:t>
                                  </w:r>
                                  <w:r>
                                    <w:rPr>
                                      <w:rFonts w:ascii="Arial" w:hAnsi="Arial" w:cs="Arial"/>
                                      <w:sz w:val="20"/>
                                      <w:szCs w:val="20"/>
                                    </w:rPr>
                                    <w:t xml:space="preserve"> </w:t>
                                  </w:r>
                                  <w:r w:rsidR="00F00595">
                                    <w:rPr>
                                      <w:rFonts w:ascii="Arial" w:hAnsi="Arial" w:cs="Arial"/>
                                      <w:sz w:val="20"/>
                                      <w:szCs w:val="20"/>
                                    </w:rPr>
                                    <w:t xml:space="preserve">                 </w:t>
                                  </w:r>
                                  <w:r w:rsidRPr="00904D78">
                                    <w:rPr>
                                      <w:rFonts w:ascii="Arial" w:hAnsi="Arial" w:cs="Arial"/>
                                      <w:sz w:val="20"/>
                                      <w:szCs w:val="20"/>
                                    </w:rPr>
                                    <w:t>4426</w:t>
                                  </w:r>
                                </w:p>
                              </w:tc>
                              <w:tc>
                                <w:tcPr>
                                  <w:tcW w:w="3312" w:type="dxa"/>
                                </w:tcPr>
                                <w:p w14:paraId="56A224DD" w14:textId="77777777" w:rsidR="00B73485" w:rsidRPr="00904D78" w:rsidRDefault="00B73485" w:rsidP="00B73485">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04D78">
                                    <w:rPr>
                                      <w:rFonts w:ascii="Arial" w:hAnsi="Arial" w:cs="Arial"/>
                                      <w:b/>
                                      <w:sz w:val="20"/>
                                      <w:szCs w:val="20"/>
                                    </w:rPr>
                                    <w:t>2075</w:t>
                                  </w:r>
                                </w:p>
                              </w:tc>
                              <w:tc>
                                <w:tcPr>
                                  <w:tcW w:w="1954" w:type="dxa"/>
                                </w:tcPr>
                                <w:p w14:paraId="256D0741" w14:textId="77777777" w:rsidR="00B73485" w:rsidRPr="00904D78" w:rsidRDefault="00B73485" w:rsidP="00B73485">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04D78">
                                    <w:rPr>
                                      <w:rFonts w:ascii="Arial" w:hAnsi="Arial" w:cs="Arial"/>
                                      <w:sz w:val="20"/>
                                      <w:szCs w:val="20"/>
                                    </w:rPr>
                                    <w:t>Onaosi</w:t>
                                  </w:r>
                                  <w:proofErr w:type="spellEnd"/>
                                </w:p>
                              </w:tc>
                            </w:tr>
                            <w:tr w:rsidR="00B73485" w:rsidRPr="00904D78" w14:paraId="79B42D25" w14:textId="77777777" w:rsidTr="00B7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1" w:type="dxa"/>
                                </w:tcPr>
                                <w:p w14:paraId="6665CF1B" w14:textId="2B283B1C" w:rsidR="00B73485" w:rsidRPr="00904D78" w:rsidRDefault="00B73485" w:rsidP="00B73485">
                                  <w:pPr>
                                    <w:spacing w:line="280" w:lineRule="exact"/>
                                    <w:jc w:val="both"/>
                                    <w:rPr>
                                      <w:rFonts w:ascii="Arial" w:hAnsi="Arial" w:cs="Arial"/>
                                      <w:sz w:val="20"/>
                                      <w:szCs w:val="20"/>
                                    </w:rPr>
                                  </w:pPr>
                                  <w:r w:rsidRPr="00904D78">
                                    <w:rPr>
                                      <w:rFonts w:ascii="Arial" w:hAnsi="Arial" w:cs="Arial"/>
                                      <w:sz w:val="20"/>
                                      <w:szCs w:val="20"/>
                                    </w:rPr>
                                    <w:t>2021</w:t>
                                  </w:r>
                                  <w:r>
                                    <w:rPr>
                                      <w:rFonts w:ascii="Arial" w:hAnsi="Arial" w:cs="Arial"/>
                                      <w:sz w:val="20"/>
                                      <w:szCs w:val="20"/>
                                    </w:rPr>
                                    <w:t xml:space="preserve"> </w:t>
                                  </w:r>
                                  <w:r w:rsidR="00F00595">
                                    <w:rPr>
                                      <w:rFonts w:ascii="Arial" w:hAnsi="Arial" w:cs="Arial"/>
                                      <w:sz w:val="20"/>
                                      <w:szCs w:val="20"/>
                                    </w:rPr>
                                    <w:t xml:space="preserve">                 </w:t>
                                  </w:r>
                                  <w:r w:rsidRPr="00904D78">
                                    <w:rPr>
                                      <w:rFonts w:ascii="Arial" w:hAnsi="Arial" w:cs="Arial"/>
                                      <w:sz w:val="20"/>
                                      <w:szCs w:val="20"/>
                                    </w:rPr>
                                    <w:t>3621</w:t>
                                  </w:r>
                                </w:p>
                                <w:p w14:paraId="6AC71B0B" w14:textId="77777777" w:rsidR="00B73485" w:rsidRPr="00904D78" w:rsidRDefault="00B73485" w:rsidP="00B73485">
                                  <w:pPr>
                                    <w:spacing w:line="280" w:lineRule="exact"/>
                                    <w:jc w:val="both"/>
                                    <w:rPr>
                                      <w:rFonts w:ascii="Arial" w:hAnsi="Arial" w:cs="Arial"/>
                                      <w:sz w:val="20"/>
                                      <w:szCs w:val="20"/>
                                    </w:rPr>
                                  </w:pPr>
                                </w:p>
                              </w:tc>
                              <w:tc>
                                <w:tcPr>
                                  <w:tcW w:w="3312" w:type="dxa"/>
                                </w:tcPr>
                                <w:p w14:paraId="736565D6" w14:textId="19F59774"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4D78">
                                    <w:rPr>
                                      <w:rFonts w:ascii="Arial" w:hAnsi="Arial" w:cs="Arial"/>
                                      <w:b/>
                                      <w:sz w:val="20"/>
                                      <w:szCs w:val="20"/>
                                    </w:rPr>
                                    <w:t>2886</w:t>
                                  </w:r>
                                </w:p>
                              </w:tc>
                              <w:tc>
                                <w:tcPr>
                                  <w:tcW w:w="1954" w:type="dxa"/>
                                </w:tcPr>
                                <w:p w14:paraId="1400B1DD" w14:textId="77777777"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904D78">
                                    <w:rPr>
                                      <w:rFonts w:ascii="Arial" w:hAnsi="Arial" w:cs="Arial"/>
                                      <w:sz w:val="20"/>
                                      <w:szCs w:val="20"/>
                                    </w:rPr>
                                    <w:t>Onaosi</w:t>
                                  </w:r>
                                  <w:proofErr w:type="spellEnd"/>
                                </w:p>
                              </w:tc>
                            </w:tr>
                          </w:tbl>
                          <w:p w14:paraId="66B51414" w14:textId="77777777" w:rsidR="00B73485" w:rsidRPr="00904D78" w:rsidRDefault="00B73485" w:rsidP="00B73485">
                            <w:pPr>
                              <w:spacing w:after="0" w:line="280" w:lineRule="exact"/>
                              <w:jc w:val="both"/>
                              <w:rPr>
                                <w:rFonts w:ascii="Arial" w:hAnsi="Arial" w:cs="Arial"/>
                                <w:sz w:val="20"/>
                                <w:szCs w:val="20"/>
                              </w:rPr>
                            </w:pPr>
                            <w:r w:rsidRPr="00904D78">
                              <w:rPr>
                                <w:rFonts w:ascii="Arial" w:hAnsi="Arial" w:cs="Arial"/>
                                <w:sz w:val="20"/>
                                <w:szCs w:val="20"/>
                              </w:rPr>
                              <w:t>*Pensionamenti: uscite per pensione, decessi, invalidità 100%</w:t>
                            </w:r>
                          </w:p>
                          <w:p w14:paraId="4BD03B86" w14:textId="7E55344E" w:rsidR="00B73485" w:rsidRDefault="00B73485" w:rsidP="00B73485">
                            <w:pPr>
                              <w:spacing w:after="0" w:line="280" w:lineRule="exact"/>
                              <w:jc w:val="both"/>
                              <w:rPr>
                                <w:rFonts w:ascii="Arial" w:hAnsi="Arial" w:cs="Arial"/>
                                <w:sz w:val="20"/>
                                <w:szCs w:val="20"/>
                              </w:rPr>
                            </w:pPr>
                            <w:r w:rsidRPr="00904D78">
                              <w:rPr>
                                <w:rFonts w:ascii="Arial" w:hAnsi="Arial" w:cs="Arial"/>
                                <w:sz w:val="20"/>
                                <w:szCs w:val="20"/>
                              </w:rPr>
                              <w:t>**Licenziamenti: uscite per dimissioni volontarie, termine contratto TD</w:t>
                            </w:r>
                          </w:p>
                          <w:p w14:paraId="25C4918B" w14:textId="0110490F" w:rsidR="00B73485" w:rsidRDefault="00B73485" w:rsidP="00B73485">
                            <w:pPr>
                              <w:spacing w:after="0" w:line="280" w:lineRule="exact"/>
                              <w:jc w:val="both"/>
                              <w:rPr>
                                <w:rFonts w:ascii="Arial" w:hAnsi="Arial" w:cs="Arial"/>
                                <w:sz w:val="20"/>
                                <w:szCs w:val="20"/>
                              </w:rPr>
                            </w:pPr>
                          </w:p>
                          <w:p w14:paraId="68CF6378" w14:textId="7727D413" w:rsidR="00B73485" w:rsidRDefault="00B73485" w:rsidP="00B73485">
                            <w:pPr>
                              <w:spacing w:after="0" w:line="280" w:lineRule="exact"/>
                              <w:jc w:val="both"/>
                              <w:rPr>
                                <w:rFonts w:ascii="Arial" w:hAnsi="Arial" w:cs="Arial"/>
                                <w:sz w:val="20"/>
                                <w:szCs w:val="20"/>
                              </w:rPr>
                            </w:pPr>
                          </w:p>
                          <w:p w14:paraId="4DFFCE45" w14:textId="69990029" w:rsidR="00B73485" w:rsidRDefault="00B73485" w:rsidP="00B73485">
                            <w:pPr>
                              <w:spacing w:after="0" w:line="280" w:lineRule="exact"/>
                              <w:jc w:val="both"/>
                              <w:rPr>
                                <w:rFonts w:ascii="Arial" w:hAnsi="Arial" w:cs="Arial"/>
                                <w:sz w:val="20"/>
                                <w:szCs w:val="20"/>
                              </w:rPr>
                            </w:pPr>
                          </w:p>
                          <w:p w14:paraId="2DA80F98" w14:textId="77777777" w:rsidR="00B73485" w:rsidRPr="00904D78" w:rsidRDefault="00B73485" w:rsidP="00B73485">
                            <w:pPr>
                              <w:spacing w:after="0" w:line="280" w:lineRule="exact"/>
                              <w:jc w:val="both"/>
                              <w:rPr>
                                <w:rFonts w:ascii="Arial" w:hAnsi="Arial" w:cs="Arial"/>
                                <w:sz w:val="20"/>
                                <w:szCs w:val="20"/>
                              </w:rPr>
                            </w:pPr>
                          </w:p>
                          <w:p w14:paraId="6E706355" w14:textId="77777777" w:rsidR="00B73485" w:rsidRDefault="00B73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CC713C" id="_x0000_t202" coordsize="21600,21600" o:spt="202" path="m,l,21600r21600,l21600,xe">
                <v:stroke joinstyle="miter"/>
                <v:path gradientshapeok="t" o:connecttype="rect"/>
              </v:shapetype>
              <v:shape id="Casella di testo 5" o:spid="_x0000_s1026" type="#_x0000_t202" style="position:absolute;left:0;text-align:left;margin-left:3.3pt;margin-top:11.15pt;width:478.5pt;height:110.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" filled="f" stroked="f" strokeweight=".5pt">
                <v:textbox>
                  <w:txbxContent>
                    <w:tbl>
                      <w:tblPr>
                        <w:tblStyle w:val="Sfondochiaro-Colore5"/>
                        <w:tblW w:w="0" w:type="auto"/>
                        <w:tblLook w:val="04A0" w:firstRow="1" w:lastRow="0" w:firstColumn="1" w:lastColumn="0" w:noHBand="0" w:noVBand="1"/>
                      </w:tblPr>
                      <w:tblGrid>
                        <w:gridCol w:w="4221"/>
                        <w:gridCol w:w="3312"/>
                        <w:gridCol w:w="1954"/>
                      </w:tblGrid>
                      <w:tr w:rsidR="00B73485" w:rsidRPr="00904D78" w14:paraId="419E0072" w14:textId="77777777" w:rsidTr="00B73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1" w:type="dxa"/>
                          </w:tcPr>
                          <w:p w14:paraId="71F7323B" w14:textId="599B0204" w:rsidR="00B73485" w:rsidRPr="00904D78" w:rsidRDefault="00F00595" w:rsidP="00B73485">
                            <w:pPr>
                              <w:spacing w:line="280" w:lineRule="exact"/>
                              <w:jc w:val="both"/>
                              <w:rPr>
                                <w:rFonts w:ascii="Arial" w:hAnsi="Arial" w:cs="Arial"/>
                                <w:sz w:val="20"/>
                                <w:szCs w:val="20"/>
                              </w:rPr>
                            </w:pPr>
                            <w:r>
                              <w:rPr>
                                <w:rFonts w:ascii="Arial" w:hAnsi="Arial" w:cs="Arial"/>
                                <w:sz w:val="20"/>
                                <w:szCs w:val="20"/>
                              </w:rPr>
                              <w:t xml:space="preserve">                    </w:t>
                            </w:r>
                            <w:r w:rsidR="00B73485" w:rsidRPr="00904D78">
                              <w:rPr>
                                <w:rFonts w:ascii="Arial" w:hAnsi="Arial" w:cs="Arial"/>
                                <w:sz w:val="20"/>
                                <w:szCs w:val="20"/>
                              </w:rPr>
                              <w:t>Pensionamenti*</w:t>
                            </w:r>
                          </w:p>
                        </w:tc>
                        <w:tc>
                          <w:tcPr>
                            <w:tcW w:w="3312" w:type="dxa"/>
                          </w:tcPr>
                          <w:p w14:paraId="334EED2E" w14:textId="77777777" w:rsidR="00B73485" w:rsidRPr="00904D78" w:rsidRDefault="00B73485" w:rsidP="00B73485">
                            <w:pPr>
                              <w:spacing w:line="28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04D78">
                              <w:rPr>
                                <w:rFonts w:ascii="Arial" w:hAnsi="Arial" w:cs="Arial"/>
                                <w:sz w:val="20"/>
                                <w:szCs w:val="20"/>
                              </w:rPr>
                              <w:t>Licenziamenti**</w:t>
                            </w:r>
                          </w:p>
                        </w:tc>
                        <w:tc>
                          <w:tcPr>
                            <w:tcW w:w="1954" w:type="dxa"/>
                          </w:tcPr>
                          <w:p w14:paraId="75EDDF57" w14:textId="77777777" w:rsidR="00B73485" w:rsidRPr="00904D78" w:rsidRDefault="00B73485" w:rsidP="00B73485">
                            <w:pPr>
                              <w:spacing w:line="280" w:lineRule="exact"/>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04D78">
                              <w:rPr>
                                <w:rFonts w:ascii="Arial" w:hAnsi="Arial" w:cs="Arial"/>
                                <w:sz w:val="20"/>
                                <w:szCs w:val="20"/>
                              </w:rPr>
                              <w:t>Dati</w:t>
                            </w:r>
                          </w:p>
                        </w:tc>
                      </w:tr>
                      <w:tr w:rsidR="00B73485" w:rsidRPr="00904D78" w14:paraId="73D1DD36" w14:textId="77777777" w:rsidTr="00B7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1" w:type="dxa"/>
                          </w:tcPr>
                          <w:p w14:paraId="6583E85C" w14:textId="02B41F1D" w:rsidR="00B73485" w:rsidRPr="00904D78" w:rsidRDefault="00B73485" w:rsidP="00B73485">
                            <w:pPr>
                              <w:spacing w:line="280" w:lineRule="exact"/>
                              <w:jc w:val="both"/>
                              <w:rPr>
                                <w:rFonts w:ascii="Arial" w:hAnsi="Arial" w:cs="Arial"/>
                                <w:sz w:val="20"/>
                                <w:szCs w:val="20"/>
                              </w:rPr>
                            </w:pPr>
                            <w:r w:rsidRPr="00904D78">
                              <w:rPr>
                                <w:rFonts w:ascii="Arial" w:hAnsi="Arial" w:cs="Arial"/>
                                <w:sz w:val="20"/>
                                <w:szCs w:val="20"/>
                              </w:rPr>
                              <w:t>2019</w:t>
                            </w:r>
                            <w:r>
                              <w:rPr>
                                <w:rFonts w:ascii="Arial" w:hAnsi="Arial" w:cs="Arial"/>
                                <w:sz w:val="20"/>
                                <w:szCs w:val="20"/>
                              </w:rPr>
                              <w:t xml:space="preserve"> </w:t>
                            </w:r>
                            <w:r w:rsidR="00F00595">
                              <w:rPr>
                                <w:rFonts w:ascii="Arial" w:hAnsi="Arial" w:cs="Arial"/>
                                <w:sz w:val="20"/>
                                <w:szCs w:val="20"/>
                              </w:rPr>
                              <w:t xml:space="preserve">                 </w:t>
                            </w:r>
                            <w:r w:rsidRPr="00904D78">
                              <w:rPr>
                                <w:rFonts w:ascii="Arial" w:hAnsi="Arial" w:cs="Arial"/>
                                <w:sz w:val="20"/>
                                <w:szCs w:val="20"/>
                              </w:rPr>
                              <w:t>4598</w:t>
                            </w:r>
                          </w:p>
                        </w:tc>
                        <w:tc>
                          <w:tcPr>
                            <w:tcW w:w="3312" w:type="dxa"/>
                          </w:tcPr>
                          <w:p w14:paraId="1075EE30" w14:textId="77777777"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4D78">
                              <w:rPr>
                                <w:rFonts w:ascii="Arial" w:hAnsi="Arial" w:cs="Arial"/>
                                <w:b/>
                                <w:sz w:val="20"/>
                                <w:szCs w:val="20"/>
                              </w:rPr>
                              <w:t>3123</w:t>
                            </w:r>
                          </w:p>
                        </w:tc>
                        <w:tc>
                          <w:tcPr>
                            <w:tcW w:w="1954" w:type="dxa"/>
                          </w:tcPr>
                          <w:p w14:paraId="173F55F9" w14:textId="77777777"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04D78">
                              <w:rPr>
                                <w:rFonts w:ascii="Arial" w:hAnsi="Arial" w:cs="Arial"/>
                                <w:sz w:val="20"/>
                                <w:szCs w:val="20"/>
                              </w:rPr>
                              <w:t>CAT</w:t>
                            </w:r>
                          </w:p>
                        </w:tc>
                      </w:tr>
                      <w:tr w:rsidR="00B73485" w:rsidRPr="00904D78" w14:paraId="62BC21B4" w14:textId="77777777" w:rsidTr="00B73485">
                        <w:tc>
                          <w:tcPr>
                            <w:cnfStyle w:val="001000000000" w:firstRow="0" w:lastRow="0" w:firstColumn="1" w:lastColumn="0" w:oddVBand="0" w:evenVBand="0" w:oddHBand="0" w:evenHBand="0" w:firstRowFirstColumn="0" w:firstRowLastColumn="0" w:lastRowFirstColumn="0" w:lastRowLastColumn="0"/>
                            <w:tcW w:w="4221" w:type="dxa"/>
                          </w:tcPr>
                          <w:p w14:paraId="552063D1" w14:textId="4DE2A893" w:rsidR="00B73485" w:rsidRPr="00904D78" w:rsidRDefault="00B73485" w:rsidP="00B73485">
                            <w:pPr>
                              <w:spacing w:line="280" w:lineRule="exact"/>
                              <w:jc w:val="both"/>
                              <w:rPr>
                                <w:rFonts w:ascii="Arial" w:hAnsi="Arial" w:cs="Arial"/>
                                <w:sz w:val="20"/>
                                <w:szCs w:val="20"/>
                              </w:rPr>
                            </w:pPr>
                            <w:r w:rsidRPr="00904D78">
                              <w:rPr>
                                <w:rFonts w:ascii="Arial" w:hAnsi="Arial" w:cs="Arial"/>
                                <w:sz w:val="20"/>
                                <w:szCs w:val="20"/>
                              </w:rPr>
                              <w:t>2020</w:t>
                            </w:r>
                            <w:r>
                              <w:rPr>
                                <w:rFonts w:ascii="Arial" w:hAnsi="Arial" w:cs="Arial"/>
                                <w:sz w:val="20"/>
                                <w:szCs w:val="20"/>
                              </w:rPr>
                              <w:t xml:space="preserve"> </w:t>
                            </w:r>
                            <w:r w:rsidR="00F00595">
                              <w:rPr>
                                <w:rFonts w:ascii="Arial" w:hAnsi="Arial" w:cs="Arial"/>
                                <w:sz w:val="20"/>
                                <w:szCs w:val="20"/>
                              </w:rPr>
                              <w:t xml:space="preserve">                 </w:t>
                            </w:r>
                            <w:r w:rsidRPr="00904D78">
                              <w:rPr>
                                <w:rFonts w:ascii="Arial" w:hAnsi="Arial" w:cs="Arial"/>
                                <w:sz w:val="20"/>
                                <w:szCs w:val="20"/>
                              </w:rPr>
                              <w:t>4426</w:t>
                            </w:r>
                          </w:p>
                        </w:tc>
                        <w:tc>
                          <w:tcPr>
                            <w:tcW w:w="3312" w:type="dxa"/>
                          </w:tcPr>
                          <w:p w14:paraId="56A224DD" w14:textId="77777777" w:rsidR="00B73485" w:rsidRPr="00904D78" w:rsidRDefault="00B73485" w:rsidP="00B73485">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04D78">
                              <w:rPr>
                                <w:rFonts w:ascii="Arial" w:hAnsi="Arial" w:cs="Arial"/>
                                <w:b/>
                                <w:sz w:val="20"/>
                                <w:szCs w:val="20"/>
                              </w:rPr>
                              <w:t>2075</w:t>
                            </w:r>
                          </w:p>
                        </w:tc>
                        <w:tc>
                          <w:tcPr>
                            <w:tcW w:w="1954" w:type="dxa"/>
                          </w:tcPr>
                          <w:p w14:paraId="256D0741" w14:textId="77777777" w:rsidR="00B73485" w:rsidRPr="00904D78" w:rsidRDefault="00B73485" w:rsidP="00B73485">
                            <w:pPr>
                              <w:spacing w:line="280" w:lineRule="exac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04D78">
                              <w:rPr>
                                <w:rFonts w:ascii="Arial" w:hAnsi="Arial" w:cs="Arial"/>
                                <w:sz w:val="20"/>
                                <w:szCs w:val="20"/>
                              </w:rPr>
                              <w:t>Onaosi</w:t>
                            </w:r>
                            <w:proofErr w:type="spellEnd"/>
                          </w:p>
                        </w:tc>
                      </w:tr>
                      <w:tr w:rsidR="00B73485" w:rsidRPr="00904D78" w14:paraId="79B42D25" w14:textId="77777777" w:rsidTr="00B7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1" w:type="dxa"/>
                          </w:tcPr>
                          <w:p w14:paraId="6665CF1B" w14:textId="2B283B1C" w:rsidR="00B73485" w:rsidRPr="00904D78" w:rsidRDefault="00B73485" w:rsidP="00B73485">
                            <w:pPr>
                              <w:spacing w:line="280" w:lineRule="exact"/>
                              <w:jc w:val="both"/>
                              <w:rPr>
                                <w:rFonts w:ascii="Arial" w:hAnsi="Arial" w:cs="Arial"/>
                                <w:sz w:val="20"/>
                                <w:szCs w:val="20"/>
                              </w:rPr>
                            </w:pPr>
                            <w:r w:rsidRPr="00904D78">
                              <w:rPr>
                                <w:rFonts w:ascii="Arial" w:hAnsi="Arial" w:cs="Arial"/>
                                <w:sz w:val="20"/>
                                <w:szCs w:val="20"/>
                              </w:rPr>
                              <w:t>2021</w:t>
                            </w:r>
                            <w:r>
                              <w:rPr>
                                <w:rFonts w:ascii="Arial" w:hAnsi="Arial" w:cs="Arial"/>
                                <w:sz w:val="20"/>
                                <w:szCs w:val="20"/>
                              </w:rPr>
                              <w:t xml:space="preserve"> </w:t>
                            </w:r>
                            <w:r w:rsidR="00F00595">
                              <w:rPr>
                                <w:rFonts w:ascii="Arial" w:hAnsi="Arial" w:cs="Arial"/>
                                <w:sz w:val="20"/>
                                <w:szCs w:val="20"/>
                              </w:rPr>
                              <w:t xml:space="preserve">                 </w:t>
                            </w:r>
                            <w:r w:rsidRPr="00904D78">
                              <w:rPr>
                                <w:rFonts w:ascii="Arial" w:hAnsi="Arial" w:cs="Arial"/>
                                <w:sz w:val="20"/>
                                <w:szCs w:val="20"/>
                              </w:rPr>
                              <w:t>3621</w:t>
                            </w:r>
                          </w:p>
                          <w:p w14:paraId="6AC71B0B" w14:textId="77777777" w:rsidR="00B73485" w:rsidRPr="00904D78" w:rsidRDefault="00B73485" w:rsidP="00B73485">
                            <w:pPr>
                              <w:spacing w:line="280" w:lineRule="exact"/>
                              <w:jc w:val="both"/>
                              <w:rPr>
                                <w:rFonts w:ascii="Arial" w:hAnsi="Arial" w:cs="Arial"/>
                                <w:sz w:val="20"/>
                                <w:szCs w:val="20"/>
                              </w:rPr>
                            </w:pPr>
                          </w:p>
                        </w:tc>
                        <w:tc>
                          <w:tcPr>
                            <w:tcW w:w="3312" w:type="dxa"/>
                          </w:tcPr>
                          <w:p w14:paraId="736565D6" w14:textId="19F59774"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4D78">
                              <w:rPr>
                                <w:rFonts w:ascii="Arial" w:hAnsi="Arial" w:cs="Arial"/>
                                <w:b/>
                                <w:sz w:val="20"/>
                                <w:szCs w:val="20"/>
                              </w:rPr>
                              <w:t>2886</w:t>
                            </w:r>
                          </w:p>
                        </w:tc>
                        <w:tc>
                          <w:tcPr>
                            <w:tcW w:w="1954" w:type="dxa"/>
                          </w:tcPr>
                          <w:p w14:paraId="1400B1DD" w14:textId="77777777" w:rsidR="00B73485" w:rsidRPr="00904D78" w:rsidRDefault="00B73485" w:rsidP="00B73485">
                            <w:pPr>
                              <w:spacing w:line="280" w:lineRule="exac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904D78">
                              <w:rPr>
                                <w:rFonts w:ascii="Arial" w:hAnsi="Arial" w:cs="Arial"/>
                                <w:sz w:val="20"/>
                                <w:szCs w:val="20"/>
                              </w:rPr>
                              <w:t>Onaosi</w:t>
                            </w:r>
                            <w:proofErr w:type="spellEnd"/>
                          </w:p>
                        </w:tc>
                      </w:tr>
                    </w:tbl>
                    <w:p w14:paraId="66B51414" w14:textId="77777777" w:rsidR="00B73485" w:rsidRPr="00904D78" w:rsidRDefault="00B73485" w:rsidP="00B73485">
                      <w:pPr>
                        <w:spacing w:after="0" w:line="280" w:lineRule="exact"/>
                        <w:jc w:val="both"/>
                        <w:rPr>
                          <w:rFonts w:ascii="Arial" w:hAnsi="Arial" w:cs="Arial"/>
                          <w:sz w:val="20"/>
                          <w:szCs w:val="20"/>
                        </w:rPr>
                      </w:pPr>
                      <w:r w:rsidRPr="00904D78">
                        <w:rPr>
                          <w:rFonts w:ascii="Arial" w:hAnsi="Arial" w:cs="Arial"/>
                          <w:sz w:val="20"/>
                          <w:szCs w:val="20"/>
                        </w:rPr>
                        <w:t>*Pensionamenti: uscite per pensione, decessi, invalidità 100%</w:t>
                      </w:r>
                    </w:p>
                    <w:p w14:paraId="4BD03B86" w14:textId="7E55344E" w:rsidR="00B73485" w:rsidRDefault="00B73485" w:rsidP="00B73485">
                      <w:pPr>
                        <w:spacing w:after="0" w:line="280" w:lineRule="exact"/>
                        <w:jc w:val="both"/>
                        <w:rPr>
                          <w:rFonts w:ascii="Arial" w:hAnsi="Arial" w:cs="Arial"/>
                          <w:sz w:val="20"/>
                          <w:szCs w:val="20"/>
                        </w:rPr>
                      </w:pPr>
                      <w:r w:rsidRPr="00904D78">
                        <w:rPr>
                          <w:rFonts w:ascii="Arial" w:hAnsi="Arial" w:cs="Arial"/>
                          <w:sz w:val="20"/>
                          <w:szCs w:val="20"/>
                        </w:rPr>
                        <w:t>**Licenziamenti: uscite per dimissioni volontarie, termine contratto TD</w:t>
                      </w:r>
                    </w:p>
                    <w:p w14:paraId="25C4918B" w14:textId="0110490F" w:rsidR="00B73485" w:rsidRDefault="00B73485" w:rsidP="00B73485">
                      <w:pPr>
                        <w:spacing w:after="0" w:line="280" w:lineRule="exact"/>
                        <w:jc w:val="both"/>
                        <w:rPr>
                          <w:rFonts w:ascii="Arial" w:hAnsi="Arial" w:cs="Arial"/>
                          <w:sz w:val="20"/>
                          <w:szCs w:val="20"/>
                        </w:rPr>
                      </w:pPr>
                    </w:p>
                    <w:p w14:paraId="68CF6378" w14:textId="7727D413" w:rsidR="00B73485" w:rsidRDefault="00B73485" w:rsidP="00B73485">
                      <w:pPr>
                        <w:spacing w:after="0" w:line="280" w:lineRule="exact"/>
                        <w:jc w:val="both"/>
                        <w:rPr>
                          <w:rFonts w:ascii="Arial" w:hAnsi="Arial" w:cs="Arial"/>
                          <w:sz w:val="20"/>
                          <w:szCs w:val="20"/>
                        </w:rPr>
                      </w:pPr>
                    </w:p>
                    <w:p w14:paraId="4DFFCE45" w14:textId="69990029" w:rsidR="00B73485" w:rsidRDefault="00B73485" w:rsidP="00B73485">
                      <w:pPr>
                        <w:spacing w:after="0" w:line="280" w:lineRule="exact"/>
                        <w:jc w:val="both"/>
                        <w:rPr>
                          <w:rFonts w:ascii="Arial" w:hAnsi="Arial" w:cs="Arial"/>
                          <w:sz w:val="20"/>
                          <w:szCs w:val="20"/>
                        </w:rPr>
                      </w:pPr>
                    </w:p>
                    <w:p w14:paraId="2DA80F98" w14:textId="77777777" w:rsidR="00B73485" w:rsidRPr="00904D78" w:rsidRDefault="00B73485" w:rsidP="00B73485">
                      <w:pPr>
                        <w:spacing w:after="0" w:line="280" w:lineRule="exact"/>
                        <w:jc w:val="both"/>
                        <w:rPr>
                          <w:rFonts w:ascii="Arial" w:hAnsi="Arial" w:cs="Arial"/>
                          <w:sz w:val="20"/>
                          <w:szCs w:val="20"/>
                        </w:rPr>
                      </w:pPr>
                    </w:p>
                    <w:p w14:paraId="6E706355" w14:textId="77777777" w:rsidR="00B73485" w:rsidRDefault="00B73485"/>
                  </w:txbxContent>
                </v:textbox>
              </v:shape>
            </w:pict>
          </mc:Fallback>
        </mc:AlternateContent>
      </w:r>
    </w:p>
    <w:p w14:paraId="5F001136" w14:textId="77777777" w:rsidR="00B73485" w:rsidRPr="00904D78" w:rsidRDefault="00B73485" w:rsidP="00B73485">
      <w:pPr>
        <w:spacing w:after="0" w:line="280" w:lineRule="exact"/>
        <w:jc w:val="both"/>
        <w:rPr>
          <w:rFonts w:ascii="Arial" w:hAnsi="Arial" w:cs="Arial"/>
          <w:b/>
          <w:sz w:val="20"/>
          <w:szCs w:val="20"/>
        </w:rPr>
      </w:pPr>
    </w:p>
    <w:p w14:paraId="707B33D4" w14:textId="55854A4C" w:rsidR="00C92846" w:rsidRPr="00904D78" w:rsidRDefault="00C92846" w:rsidP="00904D78">
      <w:pPr>
        <w:pStyle w:val="NormaleWeb"/>
        <w:shd w:val="clear" w:color="auto" w:fill="FFFFFF"/>
        <w:spacing w:before="0" w:beforeAutospacing="0" w:after="0" w:afterAutospacing="0" w:line="280" w:lineRule="exact"/>
        <w:jc w:val="both"/>
        <w:rPr>
          <w:rFonts w:ascii="Arial" w:eastAsiaTheme="minorHAnsi" w:hAnsi="Arial" w:cs="Arial"/>
          <w:sz w:val="20"/>
          <w:szCs w:val="20"/>
          <w:lang w:eastAsia="en-US"/>
        </w:rPr>
      </w:pPr>
    </w:p>
    <w:p w14:paraId="706D5E16" w14:textId="7B967C86" w:rsidR="002C32DA" w:rsidRPr="00904D78" w:rsidRDefault="002C32DA" w:rsidP="00904D78">
      <w:pPr>
        <w:pStyle w:val="NormaleWeb"/>
        <w:shd w:val="clear" w:color="auto" w:fill="FFFFFF"/>
        <w:spacing w:before="0" w:beforeAutospacing="0" w:after="0" w:afterAutospacing="0" w:line="280" w:lineRule="exact"/>
        <w:jc w:val="both"/>
        <w:rPr>
          <w:rFonts w:ascii="Arial" w:eastAsiaTheme="minorHAnsi" w:hAnsi="Arial" w:cs="Arial"/>
          <w:sz w:val="20"/>
          <w:szCs w:val="20"/>
          <w:lang w:eastAsia="en-US"/>
        </w:rPr>
      </w:pPr>
    </w:p>
    <w:p w14:paraId="59E83687" w14:textId="26BB9719" w:rsidR="00B73485" w:rsidRDefault="00B73485" w:rsidP="00B73485">
      <w:pPr>
        <w:spacing w:after="0" w:line="280" w:lineRule="exact"/>
        <w:jc w:val="both"/>
        <w:rPr>
          <w:rFonts w:ascii="Arial" w:hAnsi="Arial" w:cs="Arial"/>
          <w:b/>
          <w:sz w:val="20"/>
          <w:szCs w:val="20"/>
        </w:rPr>
      </w:pPr>
    </w:p>
    <w:p w14:paraId="33A2B403" w14:textId="77777777" w:rsidR="00B73485" w:rsidRDefault="00B73485" w:rsidP="00B73485">
      <w:pPr>
        <w:spacing w:after="0" w:line="280" w:lineRule="exact"/>
        <w:jc w:val="both"/>
        <w:rPr>
          <w:rFonts w:ascii="Arial" w:hAnsi="Arial" w:cs="Arial"/>
          <w:b/>
          <w:sz w:val="20"/>
          <w:szCs w:val="20"/>
        </w:rPr>
      </w:pPr>
    </w:p>
    <w:p w14:paraId="5BC2C538" w14:textId="77777777" w:rsidR="00B73485" w:rsidRDefault="00B73485" w:rsidP="00B73485">
      <w:pPr>
        <w:spacing w:after="0" w:line="280" w:lineRule="exact"/>
        <w:jc w:val="both"/>
        <w:rPr>
          <w:rFonts w:ascii="Arial" w:hAnsi="Arial" w:cs="Arial"/>
          <w:b/>
          <w:sz w:val="20"/>
          <w:szCs w:val="20"/>
        </w:rPr>
      </w:pPr>
    </w:p>
    <w:p w14:paraId="701FD8E9" w14:textId="6D050A6A" w:rsidR="00B73485" w:rsidRDefault="00B73485" w:rsidP="00B73485">
      <w:pPr>
        <w:spacing w:after="0" w:line="280" w:lineRule="exact"/>
        <w:jc w:val="both"/>
        <w:rPr>
          <w:rFonts w:ascii="Arial" w:hAnsi="Arial" w:cs="Arial"/>
          <w:b/>
          <w:sz w:val="20"/>
          <w:szCs w:val="20"/>
        </w:rPr>
      </w:pPr>
    </w:p>
    <w:p w14:paraId="4893D591" w14:textId="6607AE40" w:rsidR="00B73485" w:rsidRDefault="00B73485" w:rsidP="00B73485">
      <w:pPr>
        <w:spacing w:after="0" w:line="280" w:lineRule="exact"/>
        <w:jc w:val="both"/>
        <w:rPr>
          <w:rFonts w:ascii="Arial" w:hAnsi="Arial" w:cs="Arial"/>
          <w:b/>
          <w:sz w:val="20"/>
          <w:szCs w:val="20"/>
        </w:rPr>
      </w:pPr>
    </w:p>
    <w:p w14:paraId="235D81BD" w14:textId="77777777" w:rsidR="00B73485" w:rsidRDefault="00B73485" w:rsidP="00B73485">
      <w:pPr>
        <w:spacing w:after="0" w:line="280" w:lineRule="exact"/>
        <w:jc w:val="both"/>
        <w:rPr>
          <w:rFonts w:ascii="Arial" w:hAnsi="Arial" w:cs="Arial"/>
          <w:b/>
          <w:sz w:val="20"/>
          <w:szCs w:val="20"/>
        </w:rPr>
      </w:pPr>
    </w:p>
    <w:p w14:paraId="2F7B2563" w14:textId="786547D5" w:rsidR="00B73485" w:rsidRDefault="00B73485" w:rsidP="00B73485">
      <w:pPr>
        <w:spacing w:after="0" w:line="280" w:lineRule="exact"/>
        <w:jc w:val="both"/>
        <w:rPr>
          <w:rFonts w:ascii="Arial" w:hAnsi="Arial" w:cs="Arial"/>
          <w:b/>
          <w:sz w:val="20"/>
          <w:szCs w:val="20"/>
        </w:rPr>
      </w:pPr>
      <w:r w:rsidRPr="00904D78">
        <w:rPr>
          <w:rFonts w:ascii="Arial" w:hAnsi="Arial" w:cs="Arial"/>
          <w:b/>
          <w:sz w:val="20"/>
          <w:szCs w:val="20"/>
        </w:rPr>
        <w:t>Grafico 1:</w:t>
      </w:r>
      <w:r>
        <w:rPr>
          <w:rFonts w:ascii="Arial" w:hAnsi="Arial" w:cs="Arial"/>
          <w:b/>
          <w:sz w:val="20"/>
          <w:szCs w:val="20"/>
        </w:rPr>
        <w:t xml:space="preserve"> </w:t>
      </w:r>
      <w:r w:rsidRPr="00904D78">
        <w:rPr>
          <w:rFonts w:ascii="Arial" w:hAnsi="Arial" w:cs="Arial"/>
          <w:b/>
          <w:sz w:val="20"/>
          <w:szCs w:val="20"/>
        </w:rPr>
        <w:t>Percentuale di licenziamenti nel 2020 e 2021 sul totale dei medici dipendenti del SSN al 2019 nelle singole Regioni o Province autonome</w:t>
      </w:r>
    </w:p>
    <w:p w14:paraId="2DDCB12C" w14:textId="1824E41D" w:rsidR="00880775" w:rsidRDefault="00880775" w:rsidP="00B73485">
      <w:pPr>
        <w:spacing w:after="0" w:line="280" w:lineRule="exact"/>
        <w:jc w:val="both"/>
        <w:rPr>
          <w:rFonts w:ascii="Arial" w:hAnsi="Arial" w:cs="Arial"/>
          <w:b/>
          <w:sz w:val="20"/>
          <w:szCs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80"/>
        <w:gridCol w:w="1523"/>
        <w:gridCol w:w="1523"/>
        <w:gridCol w:w="1798"/>
        <w:gridCol w:w="1798"/>
        <w:gridCol w:w="1346"/>
      </w:tblGrid>
      <w:tr w:rsidR="00880775" w:rsidRPr="00880775" w14:paraId="58BCC80D" w14:textId="77777777" w:rsidTr="00A0568F">
        <w:trPr>
          <w:trHeight w:val="590"/>
          <w:tblCellSpacing w:w="0" w:type="dxa"/>
        </w:trPr>
        <w:tc>
          <w:tcPr>
            <w:tcW w:w="1680" w:type="dxa"/>
            <w:vAlign w:val="bottom"/>
          </w:tcPr>
          <w:p w14:paraId="78E648D9" w14:textId="1F8F3FBF" w:rsidR="00880775" w:rsidRPr="00880775" w:rsidRDefault="00880775" w:rsidP="00011455">
            <w:pPr>
              <w:spacing w:after="0" w:line="240" w:lineRule="auto"/>
              <w:rPr>
                <w:rFonts w:ascii="Arial" w:eastAsia="Times New Roman" w:hAnsi="Arial" w:cs="Arial"/>
                <w:color w:val="000000"/>
                <w:sz w:val="18"/>
                <w:szCs w:val="18"/>
                <w:lang w:eastAsia="it-IT"/>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CBCB2C5" wp14:editId="30B9A885">
                      <wp:simplePos x="0" y="0"/>
                      <wp:positionH relativeFrom="column">
                        <wp:posOffset>3810</wp:posOffset>
                      </wp:positionH>
                      <wp:positionV relativeFrom="paragraph">
                        <wp:posOffset>5080</wp:posOffset>
                      </wp:positionV>
                      <wp:extent cx="6019800" cy="3000375"/>
                      <wp:effectExtent l="0" t="0" r="19050" b="28575"/>
                      <wp:wrapNone/>
                      <wp:docPr id="4" name="Casella di testo 4"/>
                      <wp:cNvGraphicFramePr/>
                      <a:graphic xmlns:a="http://schemas.openxmlformats.org/drawingml/2006/main">
                        <a:graphicData uri="http://schemas.microsoft.com/office/word/2010/wordprocessingShape">
                          <wps:wsp>
                            <wps:cNvSpPr txBox="1"/>
                            <wps:spPr>
                              <a:xfrm>
                                <a:off x="0" y="0"/>
                                <a:ext cx="6019800" cy="3000375"/>
                              </a:xfrm>
                              <a:prstGeom prst="rect">
                                <a:avLst/>
                              </a:prstGeom>
                              <a:solidFill>
                                <a:schemeClr val="lt1"/>
                              </a:solidFill>
                              <a:ln w="6350">
                                <a:solidFill>
                                  <a:prstClr val="black"/>
                                </a:solidFill>
                              </a:ln>
                            </wps:spPr>
                            <wps:txbx>
                              <w:txbxContent>
                                <w:p w14:paraId="6EAE78F2" w14:textId="77777777" w:rsidR="00B73485" w:rsidRDefault="00B73485" w:rsidP="00B73485">
                                  <w:r w:rsidRPr="00904D78">
                                    <w:rPr>
                                      <w:rFonts w:ascii="Arial" w:hAnsi="Arial" w:cs="Arial"/>
                                      <w:noProof/>
                                      <w:sz w:val="20"/>
                                      <w:szCs w:val="20"/>
                                      <w:lang w:eastAsia="it-IT"/>
                                    </w:rPr>
                                    <w:drawing>
                                      <wp:inline distT="0" distB="0" distL="0" distR="0" wp14:anchorId="3662C111" wp14:editId="05958B69">
                                        <wp:extent cx="5830570" cy="285056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0570" cy="285056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CB2C5" id="Casella di testo 4" o:spid="_x0000_s1027" type="#_x0000_t202" style="position:absolute;margin-left:.3pt;margin-top:.4pt;width:474pt;height:23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dIOQIAAIQ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" fillcolor="white [3201]" strokeweight=".5pt">
                      <v:textbox>
                        <w:txbxContent>
                          <w:p w14:paraId="6EAE78F2" w14:textId="77777777" w:rsidR="00B73485" w:rsidRDefault="00B73485" w:rsidP="00B73485">
                            <w:r w:rsidRPr="00904D78">
                              <w:rPr>
                                <w:rFonts w:ascii="Arial" w:hAnsi="Arial" w:cs="Arial"/>
                                <w:noProof/>
                                <w:sz w:val="20"/>
                                <w:szCs w:val="20"/>
                                <w:lang w:eastAsia="it-IT"/>
                              </w:rPr>
                              <w:drawing>
                                <wp:inline distT="0" distB="0" distL="0" distR="0" wp14:anchorId="3662C111" wp14:editId="05958B69">
                                  <wp:extent cx="5830570" cy="285056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0570" cy="2850564"/>
                                          </a:xfrm>
                                          <a:prstGeom prst="rect">
                                            <a:avLst/>
                                          </a:prstGeom>
                                          <a:noFill/>
                                        </pic:spPr>
                                      </pic:pic>
                                    </a:graphicData>
                                  </a:graphic>
                                </wp:inline>
                              </w:drawing>
                            </w:r>
                          </w:p>
                        </w:txbxContent>
                      </v:textbox>
                    </v:shape>
                  </w:pict>
                </mc:Fallback>
              </mc:AlternateContent>
            </w:r>
            <w:r>
              <w:rPr>
                <w:rFonts w:ascii="Arial" w:hAnsi="Arial" w:cs="Arial"/>
                <w:b/>
                <w:sz w:val="20"/>
                <w:szCs w:val="20"/>
              </w:rPr>
              <w:br w:type="page"/>
            </w:r>
          </w:p>
        </w:tc>
        <w:tc>
          <w:tcPr>
            <w:tcW w:w="1523" w:type="dxa"/>
            <w:vAlign w:val="center"/>
          </w:tcPr>
          <w:p w14:paraId="3585B1C1" w14:textId="77777777" w:rsidR="00880775" w:rsidRPr="00880775" w:rsidRDefault="00880775" w:rsidP="00011455">
            <w:pPr>
              <w:spacing w:after="0" w:line="240" w:lineRule="auto"/>
              <w:jc w:val="center"/>
              <w:rPr>
                <w:rFonts w:ascii="Arial" w:eastAsia="Times New Roman" w:hAnsi="Arial" w:cs="Arial"/>
                <w:color w:val="000000"/>
                <w:sz w:val="18"/>
                <w:szCs w:val="18"/>
                <w:lang w:eastAsia="it-IT"/>
              </w:rPr>
            </w:pPr>
          </w:p>
        </w:tc>
        <w:tc>
          <w:tcPr>
            <w:tcW w:w="1523" w:type="dxa"/>
            <w:vAlign w:val="bottom"/>
          </w:tcPr>
          <w:p w14:paraId="65011BF1" w14:textId="0FA9BF5B"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1798" w:type="dxa"/>
            <w:vAlign w:val="center"/>
          </w:tcPr>
          <w:p w14:paraId="7699DCCA" w14:textId="72F081A0" w:rsidR="00880775" w:rsidRPr="00880775" w:rsidRDefault="00880775" w:rsidP="00011455">
            <w:pPr>
              <w:spacing w:after="0" w:line="240" w:lineRule="auto"/>
              <w:jc w:val="center"/>
              <w:rPr>
                <w:rFonts w:ascii="Arial" w:eastAsia="Times New Roman" w:hAnsi="Arial" w:cs="Arial"/>
                <w:color w:val="000000"/>
                <w:sz w:val="18"/>
                <w:szCs w:val="18"/>
                <w:lang w:eastAsia="it-IT"/>
              </w:rPr>
            </w:pPr>
          </w:p>
        </w:tc>
        <w:tc>
          <w:tcPr>
            <w:tcW w:w="1798" w:type="dxa"/>
            <w:vAlign w:val="bottom"/>
          </w:tcPr>
          <w:p w14:paraId="07B83556" w14:textId="7C87706A"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1346" w:type="dxa"/>
            <w:vAlign w:val="center"/>
          </w:tcPr>
          <w:p w14:paraId="40E2D2C6" w14:textId="76BAEF9E" w:rsidR="00880775" w:rsidRPr="00880775" w:rsidRDefault="00880775" w:rsidP="00011455">
            <w:pPr>
              <w:spacing w:after="0" w:line="240" w:lineRule="auto"/>
              <w:jc w:val="center"/>
              <w:rPr>
                <w:rFonts w:ascii="Arial" w:eastAsia="Times New Roman" w:hAnsi="Arial" w:cs="Arial"/>
                <w:color w:val="000000"/>
                <w:sz w:val="18"/>
                <w:szCs w:val="18"/>
                <w:lang w:eastAsia="it-IT"/>
              </w:rPr>
            </w:pPr>
          </w:p>
        </w:tc>
      </w:tr>
      <w:tr w:rsidR="00880775" w:rsidRPr="00880775" w14:paraId="21BC707D" w14:textId="77777777" w:rsidTr="009950A8">
        <w:trPr>
          <w:trHeight w:val="200"/>
          <w:tblCellSpacing w:w="0" w:type="dxa"/>
        </w:trPr>
        <w:tc>
          <w:tcPr>
            <w:tcW w:w="0" w:type="auto"/>
            <w:vAlign w:val="bottom"/>
          </w:tcPr>
          <w:p w14:paraId="5D53778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661E84C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BD9ED90"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27B8A86"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487E0F0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27131294"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56C6641C" w14:textId="77777777" w:rsidTr="009950A8">
        <w:trPr>
          <w:trHeight w:val="200"/>
          <w:tblCellSpacing w:w="0" w:type="dxa"/>
        </w:trPr>
        <w:tc>
          <w:tcPr>
            <w:tcW w:w="0" w:type="auto"/>
            <w:vAlign w:val="bottom"/>
          </w:tcPr>
          <w:p w14:paraId="55343224" w14:textId="2A2EE6BB"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4E747AE6"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659BB201" w14:textId="6E64C037" w:rsidR="00880775" w:rsidRPr="00880775" w:rsidRDefault="00880775" w:rsidP="00011455">
            <w:pPr>
              <w:spacing w:after="0" w:line="240" w:lineRule="auto"/>
              <w:jc w:val="center"/>
              <w:rPr>
                <w:rFonts w:ascii="Arial" w:eastAsia="Times New Roman" w:hAnsi="Arial" w:cs="Arial"/>
                <w:color w:val="000000"/>
                <w:sz w:val="18"/>
                <w:szCs w:val="18"/>
                <w:lang w:eastAsia="it-IT"/>
              </w:rPr>
            </w:pPr>
          </w:p>
        </w:tc>
        <w:tc>
          <w:tcPr>
            <w:tcW w:w="0" w:type="auto"/>
            <w:vAlign w:val="bottom"/>
          </w:tcPr>
          <w:p w14:paraId="2108B226" w14:textId="0DD63966"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center"/>
          </w:tcPr>
          <w:p w14:paraId="65A710DA" w14:textId="79D224AF" w:rsidR="00880775" w:rsidRPr="00880775" w:rsidRDefault="00880775" w:rsidP="00011455">
            <w:pPr>
              <w:spacing w:after="0" w:line="240" w:lineRule="auto"/>
              <w:jc w:val="center"/>
              <w:rPr>
                <w:rFonts w:ascii="Arial" w:eastAsia="Times New Roman" w:hAnsi="Arial" w:cs="Arial"/>
                <w:color w:val="000000"/>
                <w:sz w:val="18"/>
                <w:szCs w:val="18"/>
                <w:lang w:eastAsia="it-IT"/>
              </w:rPr>
            </w:pPr>
          </w:p>
        </w:tc>
        <w:tc>
          <w:tcPr>
            <w:tcW w:w="0" w:type="auto"/>
            <w:vAlign w:val="bottom"/>
          </w:tcPr>
          <w:p w14:paraId="553E6C1C" w14:textId="7E1EACA5"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18E350D2" w14:textId="77777777" w:rsidTr="009950A8">
        <w:trPr>
          <w:trHeight w:val="200"/>
          <w:tblCellSpacing w:w="0" w:type="dxa"/>
        </w:trPr>
        <w:tc>
          <w:tcPr>
            <w:tcW w:w="0" w:type="auto"/>
            <w:vAlign w:val="bottom"/>
          </w:tcPr>
          <w:p w14:paraId="13FB5C44"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2D0F6B3B"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439177B2"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EA9C98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2A4D5B3"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58A6FA7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1F45B94C" w14:textId="77777777" w:rsidTr="009950A8">
        <w:trPr>
          <w:trHeight w:val="200"/>
          <w:tblCellSpacing w:w="0" w:type="dxa"/>
        </w:trPr>
        <w:tc>
          <w:tcPr>
            <w:tcW w:w="0" w:type="auto"/>
            <w:vAlign w:val="bottom"/>
          </w:tcPr>
          <w:p w14:paraId="63A0347F" w14:textId="28B3AB8A"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40ACC6C"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7D510E5E" w14:textId="2A4809FB"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29A122C3" w14:textId="68A8AED5"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25BF5AFF" w14:textId="62621ABD"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3912BF68" w14:textId="64566B5F"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22773571" w14:textId="77777777" w:rsidTr="009950A8">
        <w:trPr>
          <w:trHeight w:val="200"/>
          <w:tblCellSpacing w:w="0" w:type="dxa"/>
        </w:trPr>
        <w:tc>
          <w:tcPr>
            <w:tcW w:w="0" w:type="auto"/>
            <w:vAlign w:val="bottom"/>
          </w:tcPr>
          <w:p w14:paraId="50E25B2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6CF7FAC"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161AC2C"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0B16E0CA"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07BA5FD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3FB1592"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03BE5A8F" w14:textId="77777777" w:rsidTr="009950A8">
        <w:trPr>
          <w:trHeight w:val="200"/>
          <w:tblCellSpacing w:w="0" w:type="dxa"/>
        </w:trPr>
        <w:tc>
          <w:tcPr>
            <w:tcW w:w="0" w:type="auto"/>
            <w:vAlign w:val="bottom"/>
          </w:tcPr>
          <w:p w14:paraId="5249FAC1" w14:textId="2407EF38"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B259B9F"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6CD016F9" w14:textId="0D3E246C"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060E442C" w14:textId="77F1AB1B"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6C5A0D3F" w14:textId="1EBA9BA4"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55BB0BBE" w14:textId="0FC8A04E"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28B0DC82" w14:textId="77777777" w:rsidTr="009950A8">
        <w:trPr>
          <w:trHeight w:val="200"/>
          <w:tblCellSpacing w:w="0" w:type="dxa"/>
        </w:trPr>
        <w:tc>
          <w:tcPr>
            <w:tcW w:w="0" w:type="auto"/>
            <w:vAlign w:val="bottom"/>
          </w:tcPr>
          <w:p w14:paraId="38A4CDF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257DF7B6"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6C94D46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24A6A5EE"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28385BD3"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527889E"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6078C1A2" w14:textId="77777777" w:rsidTr="009950A8">
        <w:trPr>
          <w:trHeight w:val="200"/>
          <w:tblCellSpacing w:w="0" w:type="dxa"/>
        </w:trPr>
        <w:tc>
          <w:tcPr>
            <w:tcW w:w="0" w:type="auto"/>
            <w:vAlign w:val="bottom"/>
          </w:tcPr>
          <w:p w14:paraId="2408292A" w14:textId="2FAAE0DB"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6820041A"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2F4A3D1A" w14:textId="6A03D262"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4E16D840" w14:textId="5945E8E1"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5D72E5DE" w14:textId="0D8242B6"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1BE94E97" w14:textId="5F7102B8"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2CD3F598" w14:textId="77777777" w:rsidTr="009950A8">
        <w:trPr>
          <w:trHeight w:val="200"/>
          <w:tblCellSpacing w:w="0" w:type="dxa"/>
        </w:trPr>
        <w:tc>
          <w:tcPr>
            <w:tcW w:w="0" w:type="auto"/>
            <w:vAlign w:val="bottom"/>
          </w:tcPr>
          <w:p w14:paraId="2426A557" w14:textId="7A897839"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9A1C229"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4DA28AA4" w14:textId="0C99922D"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6FAD9735" w14:textId="7657425B"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718EC017" w14:textId="6C7C445B"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0C6C2BAB" w14:textId="02A0C398"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6569C545" w14:textId="77777777" w:rsidTr="009950A8">
        <w:trPr>
          <w:trHeight w:val="200"/>
          <w:tblCellSpacing w:w="0" w:type="dxa"/>
        </w:trPr>
        <w:tc>
          <w:tcPr>
            <w:tcW w:w="0" w:type="auto"/>
            <w:vAlign w:val="bottom"/>
          </w:tcPr>
          <w:p w14:paraId="5A81A414"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A8087A1"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6FE008B2"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00BA935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0B45CFC"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25FEF3C"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68A73C2B" w14:textId="77777777" w:rsidTr="009950A8">
        <w:trPr>
          <w:trHeight w:val="200"/>
          <w:tblCellSpacing w:w="0" w:type="dxa"/>
        </w:trPr>
        <w:tc>
          <w:tcPr>
            <w:tcW w:w="0" w:type="auto"/>
            <w:vAlign w:val="bottom"/>
          </w:tcPr>
          <w:p w14:paraId="25C1E307" w14:textId="7568A050"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A2F39CB"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20C8E7B5" w14:textId="45A8BD0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566DBEC1" w14:textId="783934BA"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4B3BCE33" w14:textId="606AB1F0"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50625D6F" w14:textId="06D62589"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344B7852" w14:textId="77777777" w:rsidTr="009950A8">
        <w:trPr>
          <w:trHeight w:val="200"/>
          <w:tblCellSpacing w:w="0" w:type="dxa"/>
        </w:trPr>
        <w:tc>
          <w:tcPr>
            <w:tcW w:w="0" w:type="auto"/>
            <w:vAlign w:val="bottom"/>
          </w:tcPr>
          <w:p w14:paraId="72BC3D72"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A8E39F9"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D52CD29"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6C959793"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41E4E201"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04BF2718"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7220D48E" w14:textId="77777777" w:rsidTr="009950A8">
        <w:trPr>
          <w:trHeight w:val="200"/>
          <w:tblCellSpacing w:w="0" w:type="dxa"/>
        </w:trPr>
        <w:tc>
          <w:tcPr>
            <w:tcW w:w="0" w:type="auto"/>
            <w:vAlign w:val="bottom"/>
          </w:tcPr>
          <w:p w14:paraId="4E53A8E5" w14:textId="195D7B55"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A83417D"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1874529F" w14:textId="339FED40"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41925B21" w14:textId="00616658"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26BED1C3" w14:textId="750FF61B"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0181F857" w14:textId="49DB170C"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0F00C28A" w14:textId="77777777" w:rsidTr="009950A8">
        <w:trPr>
          <w:trHeight w:val="200"/>
          <w:tblCellSpacing w:w="0" w:type="dxa"/>
        </w:trPr>
        <w:tc>
          <w:tcPr>
            <w:tcW w:w="0" w:type="auto"/>
            <w:vAlign w:val="bottom"/>
          </w:tcPr>
          <w:p w14:paraId="70873934"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0EAA81B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E40279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E3CD12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E31CA6C"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172F5C9D"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345F84E0" w14:textId="77777777" w:rsidTr="009950A8">
        <w:trPr>
          <w:trHeight w:val="200"/>
          <w:tblCellSpacing w:w="0" w:type="dxa"/>
        </w:trPr>
        <w:tc>
          <w:tcPr>
            <w:tcW w:w="0" w:type="auto"/>
            <w:vAlign w:val="bottom"/>
          </w:tcPr>
          <w:p w14:paraId="2B33D0E5" w14:textId="7EF29A85"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DE1B3D5"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56BCFFFE" w14:textId="4E17B7CA"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2BB598CE" w14:textId="78ED991C"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70B3CF08" w14:textId="6F5A5EA3"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3D1A4896" w14:textId="32512DE4"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583CFCC2" w14:textId="77777777" w:rsidTr="009950A8">
        <w:trPr>
          <w:trHeight w:val="200"/>
          <w:tblCellSpacing w:w="0" w:type="dxa"/>
        </w:trPr>
        <w:tc>
          <w:tcPr>
            <w:tcW w:w="0" w:type="auto"/>
            <w:vAlign w:val="bottom"/>
          </w:tcPr>
          <w:p w14:paraId="4F794BCF"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B5E142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6337C860"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6E0EEB4E"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4D6606C5"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5E1EA216"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6BE14A08" w14:textId="77777777" w:rsidTr="009950A8">
        <w:trPr>
          <w:trHeight w:val="200"/>
          <w:tblCellSpacing w:w="0" w:type="dxa"/>
        </w:trPr>
        <w:tc>
          <w:tcPr>
            <w:tcW w:w="0" w:type="auto"/>
            <w:vAlign w:val="bottom"/>
          </w:tcPr>
          <w:p w14:paraId="36B9855B" w14:textId="012643CF"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063DB699"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0892CA73" w14:textId="1321577E"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026D6078" w14:textId="2F98C744"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391A8208" w14:textId="04CC6058"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48FB4DB7" w14:textId="3C1ECDDD"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r w:rsidR="00880775" w:rsidRPr="00880775" w14:paraId="371C881E" w14:textId="77777777" w:rsidTr="009950A8">
        <w:trPr>
          <w:trHeight w:val="200"/>
          <w:tblCellSpacing w:w="0" w:type="dxa"/>
        </w:trPr>
        <w:tc>
          <w:tcPr>
            <w:tcW w:w="0" w:type="auto"/>
            <w:vAlign w:val="bottom"/>
          </w:tcPr>
          <w:p w14:paraId="3CE20BF8"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46F1F4B2"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4B453511"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911B64D"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778B7BBD"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3D1704B6" w14:textId="77777777" w:rsidR="00880775" w:rsidRPr="00880775" w:rsidRDefault="00880775" w:rsidP="00011455">
            <w:pPr>
              <w:spacing w:after="0" w:line="240" w:lineRule="auto"/>
              <w:rPr>
                <w:rFonts w:ascii="Arial" w:eastAsia="Times New Roman" w:hAnsi="Arial" w:cs="Arial"/>
                <w:color w:val="000000"/>
                <w:sz w:val="18"/>
                <w:szCs w:val="18"/>
                <w:lang w:eastAsia="it-IT"/>
              </w:rPr>
            </w:pPr>
          </w:p>
        </w:tc>
      </w:tr>
      <w:tr w:rsidR="00880775" w:rsidRPr="00880775" w14:paraId="14C431BB" w14:textId="77777777" w:rsidTr="009950A8">
        <w:trPr>
          <w:trHeight w:val="200"/>
          <w:tblCellSpacing w:w="0" w:type="dxa"/>
        </w:trPr>
        <w:tc>
          <w:tcPr>
            <w:tcW w:w="0" w:type="auto"/>
            <w:vAlign w:val="bottom"/>
          </w:tcPr>
          <w:p w14:paraId="5C9EC41C" w14:textId="74205503" w:rsidR="00880775" w:rsidRPr="00880775" w:rsidRDefault="00880775" w:rsidP="00011455">
            <w:pPr>
              <w:spacing w:after="0" w:line="240" w:lineRule="auto"/>
              <w:rPr>
                <w:rFonts w:ascii="Arial" w:eastAsia="Times New Roman" w:hAnsi="Arial" w:cs="Arial"/>
                <w:color w:val="000000"/>
                <w:sz w:val="18"/>
                <w:szCs w:val="18"/>
                <w:lang w:eastAsia="it-IT"/>
              </w:rPr>
            </w:pPr>
          </w:p>
        </w:tc>
        <w:tc>
          <w:tcPr>
            <w:tcW w:w="0" w:type="auto"/>
            <w:vAlign w:val="bottom"/>
          </w:tcPr>
          <w:p w14:paraId="51D63E83" w14:textId="7777777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2329075A" w14:textId="59A0426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780BC06A" w14:textId="532BFD46"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75E18F9A" w14:textId="1BF9A497"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c>
          <w:tcPr>
            <w:tcW w:w="0" w:type="auto"/>
            <w:vAlign w:val="bottom"/>
          </w:tcPr>
          <w:p w14:paraId="694EF2C4" w14:textId="3404172B" w:rsidR="00880775" w:rsidRPr="00880775" w:rsidRDefault="00880775" w:rsidP="00011455">
            <w:pPr>
              <w:spacing w:after="0" w:line="240" w:lineRule="auto"/>
              <w:jc w:val="right"/>
              <w:rPr>
                <w:rFonts w:ascii="Arial" w:eastAsia="Times New Roman" w:hAnsi="Arial" w:cs="Arial"/>
                <w:color w:val="000000"/>
                <w:sz w:val="18"/>
                <w:szCs w:val="18"/>
                <w:lang w:eastAsia="it-IT"/>
              </w:rPr>
            </w:pPr>
          </w:p>
        </w:tc>
      </w:tr>
    </w:tbl>
    <w:p w14:paraId="713BA792" w14:textId="30BDB570" w:rsidR="00B73485" w:rsidRDefault="00B73485" w:rsidP="00880775">
      <w:pPr>
        <w:spacing w:after="0" w:line="280" w:lineRule="exact"/>
        <w:jc w:val="both"/>
        <w:rPr>
          <w:rFonts w:ascii="Arial" w:hAnsi="Arial" w:cs="Arial"/>
          <w:b/>
          <w:sz w:val="20"/>
          <w:szCs w:val="20"/>
        </w:rPr>
      </w:pPr>
    </w:p>
    <w:sectPr w:rsidR="00B7348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54FD" w14:textId="77777777" w:rsidR="00904D78" w:rsidRDefault="00904D78" w:rsidP="00904D78">
      <w:pPr>
        <w:spacing w:after="0" w:line="240" w:lineRule="auto"/>
      </w:pPr>
      <w:r>
        <w:separator/>
      </w:r>
    </w:p>
  </w:endnote>
  <w:endnote w:type="continuationSeparator" w:id="0">
    <w:p w14:paraId="3BE06DD6" w14:textId="77777777" w:rsidR="00904D78" w:rsidRDefault="00904D78" w:rsidP="0090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804187"/>
      <w:docPartObj>
        <w:docPartGallery w:val="Page Numbers (Bottom of Page)"/>
        <w:docPartUnique/>
      </w:docPartObj>
    </w:sdtPr>
    <w:sdtEndPr/>
    <w:sdtContent>
      <w:p w14:paraId="243A1EA3" w14:textId="259640B6" w:rsidR="001E6E72" w:rsidRDefault="001E6E72" w:rsidP="001E6E72">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4A256D43" w14:textId="77777777" w:rsidR="001E6E72" w:rsidRDefault="001E6E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7845" w14:textId="77777777" w:rsidR="00904D78" w:rsidRDefault="00904D78" w:rsidP="00904D78">
      <w:pPr>
        <w:spacing w:after="0" w:line="240" w:lineRule="auto"/>
      </w:pPr>
      <w:r>
        <w:separator/>
      </w:r>
    </w:p>
  </w:footnote>
  <w:footnote w:type="continuationSeparator" w:id="0">
    <w:p w14:paraId="6D02B9EB" w14:textId="77777777" w:rsidR="00904D78" w:rsidRDefault="00904D78" w:rsidP="0090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75AA" w14:textId="62BAE2D6" w:rsidR="00904D78" w:rsidRDefault="00904D78">
    <w:pPr>
      <w:pStyle w:val="Intestazione"/>
    </w:pPr>
    <w:r>
      <w:rPr>
        <w:noProof/>
      </w:rPr>
      <mc:AlternateContent>
        <mc:Choice Requires="wps">
          <w:drawing>
            <wp:anchor distT="0" distB="0" distL="114300" distR="114300" simplePos="0" relativeHeight="251659264" behindDoc="0" locked="0" layoutInCell="1" allowOverlap="1" wp14:anchorId="369D1325" wp14:editId="0D4B9877">
              <wp:simplePos x="0" y="0"/>
              <wp:positionH relativeFrom="column">
                <wp:posOffset>-177165</wp:posOffset>
              </wp:positionH>
              <wp:positionV relativeFrom="paragraph">
                <wp:posOffset>-230505</wp:posOffset>
              </wp:positionV>
              <wp:extent cx="2200275" cy="85725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200275" cy="857250"/>
                      </a:xfrm>
                      <a:prstGeom prst="rect">
                        <a:avLst/>
                      </a:prstGeom>
                      <a:noFill/>
                      <a:ln w="6350">
                        <a:noFill/>
                      </a:ln>
                    </wps:spPr>
                    <wps:txbx>
                      <w:txbxContent>
                        <w:p w14:paraId="089D1622" w14:textId="08A9187C" w:rsidR="00904D78" w:rsidRDefault="00904D78">
                          <w:r>
                            <w:rPr>
                              <w:noProof/>
                            </w:rPr>
                            <w:drawing>
                              <wp:inline distT="0" distB="0" distL="0" distR="0" wp14:anchorId="5A1D0910" wp14:editId="3535A478">
                                <wp:extent cx="2011045" cy="548005"/>
                                <wp:effectExtent l="0" t="0" r="825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2011045" cy="548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9D1325" id="_x0000_t202" coordsize="21600,21600" o:spt="202" path="m,l,21600r21600,l21600,xe">
              <v:stroke joinstyle="miter"/>
              <v:path gradientshapeok="t" o:connecttype="rect"/>
            </v:shapetype>
            <v:shape id="Casella di testo 2" o:spid="_x0000_s1028" type="#_x0000_t202" style="position:absolute;margin-left:-13.95pt;margin-top:-18.15pt;width:173.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" filled="f" stroked="f" strokeweight=".5pt">
              <v:textbox>
                <w:txbxContent>
                  <w:p w14:paraId="089D1622" w14:textId="08A9187C" w:rsidR="00904D78" w:rsidRDefault="00904D78">
                    <w:r>
                      <w:rPr>
                        <w:noProof/>
                      </w:rPr>
                      <w:drawing>
                        <wp:inline distT="0" distB="0" distL="0" distR="0" wp14:anchorId="5A1D0910" wp14:editId="3535A478">
                          <wp:extent cx="2011045" cy="548005"/>
                          <wp:effectExtent l="0" t="0" r="825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2011045" cy="54800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4B5A"/>
    <w:multiLevelType w:val="hybridMultilevel"/>
    <w:tmpl w:val="EECEDF46"/>
    <w:lvl w:ilvl="0" w:tplc="FB2C4F8A">
      <w:start w:val="1"/>
      <w:numFmt w:val="bullet"/>
      <w:lvlText w:val=""/>
      <w:lvlJc w:val="left"/>
      <w:pPr>
        <w:tabs>
          <w:tab w:val="num" w:pos="720"/>
        </w:tabs>
        <w:ind w:left="720" w:hanging="360"/>
      </w:pPr>
      <w:rPr>
        <w:rFonts w:ascii="Wingdings" w:hAnsi="Wingdings" w:hint="default"/>
      </w:rPr>
    </w:lvl>
    <w:lvl w:ilvl="1" w:tplc="F07C4416" w:tentative="1">
      <w:start w:val="1"/>
      <w:numFmt w:val="bullet"/>
      <w:lvlText w:val=""/>
      <w:lvlJc w:val="left"/>
      <w:pPr>
        <w:tabs>
          <w:tab w:val="num" w:pos="1440"/>
        </w:tabs>
        <w:ind w:left="1440" w:hanging="360"/>
      </w:pPr>
      <w:rPr>
        <w:rFonts w:ascii="Wingdings" w:hAnsi="Wingdings" w:hint="default"/>
      </w:rPr>
    </w:lvl>
    <w:lvl w:ilvl="2" w:tplc="9244D26E">
      <w:numFmt w:val="bullet"/>
      <w:lvlText w:val=""/>
      <w:lvlJc w:val="left"/>
      <w:pPr>
        <w:tabs>
          <w:tab w:val="num" w:pos="2160"/>
        </w:tabs>
        <w:ind w:left="2160" w:hanging="360"/>
      </w:pPr>
      <w:rPr>
        <w:rFonts w:ascii="Wingdings" w:hAnsi="Wingdings" w:hint="default"/>
      </w:rPr>
    </w:lvl>
    <w:lvl w:ilvl="3" w:tplc="78A4A68E" w:tentative="1">
      <w:start w:val="1"/>
      <w:numFmt w:val="bullet"/>
      <w:lvlText w:val=""/>
      <w:lvlJc w:val="left"/>
      <w:pPr>
        <w:tabs>
          <w:tab w:val="num" w:pos="2880"/>
        </w:tabs>
        <w:ind w:left="2880" w:hanging="360"/>
      </w:pPr>
      <w:rPr>
        <w:rFonts w:ascii="Wingdings" w:hAnsi="Wingdings" w:hint="default"/>
      </w:rPr>
    </w:lvl>
    <w:lvl w:ilvl="4" w:tplc="45D42828" w:tentative="1">
      <w:start w:val="1"/>
      <w:numFmt w:val="bullet"/>
      <w:lvlText w:val=""/>
      <w:lvlJc w:val="left"/>
      <w:pPr>
        <w:tabs>
          <w:tab w:val="num" w:pos="3600"/>
        </w:tabs>
        <w:ind w:left="3600" w:hanging="360"/>
      </w:pPr>
      <w:rPr>
        <w:rFonts w:ascii="Wingdings" w:hAnsi="Wingdings" w:hint="default"/>
      </w:rPr>
    </w:lvl>
    <w:lvl w:ilvl="5" w:tplc="F7CCE7AE" w:tentative="1">
      <w:start w:val="1"/>
      <w:numFmt w:val="bullet"/>
      <w:lvlText w:val=""/>
      <w:lvlJc w:val="left"/>
      <w:pPr>
        <w:tabs>
          <w:tab w:val="num" w:pos="4320"/>
        </w:tabs>
        <w:ind w:left="4320" w:hanging="360"/>
      </w:pPr>
      <w:rPr>
        <w:rFonts w:ascii="Wingdings" w:hAnsi="Wingdings" w:hint="default"/>
      </w:rPr>
    </w:lvl>
    <w:lvl w:ilvl="6" w:tplc="8BC8E504" w:tentative="1">
      <w:start w:val="1"/>
      <w:numFmt w:val="bullet"/>
      <w:lvlText w:val=""/>
      <w:lvlJc w:val="left"/>
      <w:pPr>
        <w:tabs>
          <w:tab w:val="num" w:pos="5040"/>
        </w:tabs>
        <w:ind w:left="5040" w:hanging="360"/>
      </w:pPr>
      <w:rPr>
        <w:rFonts w:ascii="Wingdings" w:hAnsi="Wingdings" w:hint="default"/>
      </w:rPr>
    </w:lvl>
    <w:lvl w:ilvl="7" w:tplc="7D547624" w:tentative="1">
      <w:start w:val="1"/>
      <w:numFmt w:val="bullet"/>
      <w:lvlText w:val=""/>
      <w:lvlJc w:val="left"/>
      <w:pPr>
        <w:tabs>
          <w:tab w:val="num" w:pos="5760"/>
        </w:tabs>
        <w:ind w:left="5760" w:hanging="360"/>
      </w:pPr>
      <w:rPr>
        <w:rFonts w:ascii="Wingdings" w:hAnsi="Wingdings" w:hint="default"/>
      </w:rPr>
    </w:lvl>
    <w:lvl w:ilvl="8" w:tplc="BF6C3E46" w:tentative="1">
      <w:start w:val="1"/>
      <w:numFmt w:val="bullet"/>
      <w:lvlText w:val=""/>
      <w:lvlJc w:val="left"/>
      <w:pPr>
        <w:tabs>
          <w:tab w:val="num" w:pos="6480"/>
        </w:tabs>
        <w:ind w:left="6480" w:hanging="360"/>
      </w:pPr>
      <w:rPr>
        <w:rFonts w:ascii="Wingdings" w:hAnsi="Wingdings" w:hint="default"/>
      </w:rPr>
    </w:lvl>
  </w:abstractNum>
  <w:num w:numId="1" w16cid:durableId="145151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DD1"/>
    <w:rsid w:val="000027A0"/>
    <w:rsid w:val="0002469E"/>
    <w:rsid w:val="00096F89"/>
    <w:rsid w:val="000D7ED0"/>
    <w:rsid w:val="00174C25"/>
    <w:rsid w:val="00186A72"/>
    <w:rsid w:val="001E6E72"/>
    <w:rsid w:val="00241BBA"/>
    <w:rsid w:val="00252C5B"/>
    <w:rsid w:val="0028389C"/>
    <w:rsid w:val="002A3A1E"/>
    <w:rsid w:val="002C050A"/>
    <w:rsid w:val="002C32DA"/>
    <w:rsid w:val="00317F8C"/>
    <w:rsid w:val="00355CB6"/>
    <w:rsid w:val="00386E3E"/>
    <w:rsid w:val="003A6424"/>
    <w:rsid w:val="003C585E"/>
    <w:rsid w:val="003C7043"/>
    <w:rsid w:val="003C7DFF"/>
    <w:rsid w:val="00453CB7"/>
    <w:rsid w:val="004715C9"/>
    <w:rsid w:val="004C3845"/>
    <w:rsid w:val="004E26B8"/>
    <w:rsid w:val="004F781E"/>
    <w:rsid w:val="0051599D"/>
    <w:rsid w:val="00537A67"/>
    <w:rsid w:val="00595255"/>
    <w:rsid w:val="005C2CF6"/>
    <w:rsid w:val="005D1C77"/>
    <w:rsid w:val="005E0493"/>
    <w:rsid w:val="00617D69"/>
    <w:rsid w:val="00623368"/>
    <w:rsid w:val="006F5D12"/>
    <w:rsid w:val="00702B95"/>
    <w:rsid w:val="00723B44"/>
    <w:rsid w:val="007957D5"/>
    <w:rsid w:val="007D32E5"/>
    <w:rsid w:val="007F7E28"/>
    <w:rsid w:val="00813414"/>
    <w:rsid w:val="00816FCB"/>
    <w:rsid w:val="0082108D"/>
    <w:rsid w:val="00833771"/>
    <w:rsid w:val="008430A6"/>
    <w:rsid w:val="00852A33"/>
    <w:rsid w:val="008544CD"/>
    <w:rsid w:val="0088045C"/>
    <w:rsid w:val="00880775"/>
    <w:rsid w:val="008E67CF"/>
    <w:rsid w:val="00904D78"/>
    <w:rsid w:val="00905DDB"/>
    <w:rsid w:val="00941CD2"/>
    <w:rsid w:val="009950A8"/>
    <w:rsid w:val="00A0568F"/>
    <w:rsid w:val="00A308BE"/>
    <w:rsid w:val="00A35FFE"/>
    <w:rsid w:val="00A632F2"/>
    <w:rsid w:val="00AD6031"/>
    <w:rsid w:val="00B11EA3"/>
    <w:rsid w:val="00B16EF2"/>
    <w:rsid w:val="00B25DCB"/>
    <w:rsid w:val="00B52DAA"/>
    <w:rsid w:val="00B73485"/>
    <w:rsid w:val="00B95800"/>
    <w:rsid w:val="00BC0C2F"/>
    <w:rsid w:val="00BE01C2"/>
    <w:rsid w:val="00C45DD1"/>
    <w:rsid w:val="00C53195"/>
    <w:rsid w:val="00C74EA6"/>
    <w:rsid w:val="00C92846"/>
    <w:rsid w:val="00CB1DA7"/>
    <w:rsid w:val="00CD5103"/>
    <w:rsid w:val="00CE738D"/>
    <w:rsid w:val="00D04D68"/>
    <w:rsid w:val="00D11B31"/>
    <w:rsid w:val="00D2513C"/>
    <w:rsid w:val="00D472FB"/>
    <w:rsid w:val="00D55916"/>
    <w:rsid w:val="00D7070B"/>
    <w:rsid w:val="00D95274"/>
    <w:rsid w:val="00DA3226"/>
    <w:rsid w:val="00DE67B0"/>
    <w:rsid w:val="00E358F3"/>
    <w:rsid w:val="00E559CB"/>
    <w:rsid w:val="00E8655D"/>
    <w:rsid w:val="00EA3D24"/>
    <w:rsid w:val="00EB1BA4"/>
    <w:rsid w:val="00F00595"/>
    <w:rsid w:val="00F877BF"/>
    <w:rsid w:val="00FB2E20"/>
    <w:rsid w:val="00FE45FC"/>
    <w:rsid w:val="00FF1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5E0CF5"/>
  <w15:docId w15:val="{569E7869-3614-4A1F-B0C0-A4993596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D60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D6031"/>
    <w:rPr>
      <w:b/>
      <w:bCs/>
    </w:rPr>
  </w:style>
  <w:style w:type="table" w:styleId="Grigliatabella">
    <w:name w:val="Table Grid"/>
    <w:basedOn w:val="Tabellanormale"/>
    <w:uiPriority w:val="39"/>
    <w:rsid w:val="003C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2">
    <w:name w:val="Light List Accent 2"/>
    <w:basedOn w:val="Tabellanormale"/>
    <w:uiPriority w:val="61"/>
    <w:rsid w:val="003C585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fondochiaro-Colore2">
    <w:name w:val="Light Shading Accent 2"/>
    <w:basedOn w:val="Tabellanormale"/>
    <w:uiPriority w:val="60"/>
    <w:rsid w:val="003C585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5">
    <w:name w:val="Light Shading Accent 5"/>
    <w:basedOn w:val="Tabellanormale"/>
    <w:uiPriority w:val="60"/>
    <w:rsid w:val="00852A33"/>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Testofumetto">
    <w:name w:val="Balloon Text"/>
    <w:basedOn w:val="Normale"/>
    <w:link w:val="TestofumettoCarattere"/>
    <w:uiPriority w:val="99"/>
    <w:semiHidden/>
    <w:unhideWhenUsed/>
    <w:rsid w:val="006F5D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D12"/>
    <w:rPr>
      <w:rFonts w:ascii="Tahoma" w:hAnsi="Tahoma" w:cs="Tahoma"/>
      <w:sz w:val="16"/>
      <w:szCs w:val="16"/>
    </w:rPr>
  </w:style>
  <w:style w:type="paragraph" w:styleId="Paragrafoelenco">
    <w:name w:val="List Paragraph"/>
    <w:basedOn w:val="Normale"/>
    <w:uiPriority w:val="34"/>
    <w:qFormat/>
    <w:rsid w:val="00D55916"/>
    <w:pPr>
      <w:ind w:left="720"/>
      <w:contextualSpacing/>
    </w:pPr>
  </w:style>
  <w:style w:type="paragraph" w:styleId="Intestazione">
    <w:name w:val="header"/>
    <w:basedOn w:val="Normale"/>
    <w:link w:val="IntestazioneCarattere"/>
    <w:uiPriority w:val="99"/>
    <w:unhideWhenUsed/>
    <w:rsid w:val="00904D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4D78"/>
  </w:style>
  <w:style w:type="paragraph" w:styleId="Pidipagina">
    <w:name w:val="footer"/>
    <w:basedOn w:val="Normale"/>
    <w:link w:val="PidipaginaCarattere"/>
    <w:uiPriority w:val="99"/>
    <w:unhideWhenUsed/>
    <w:rsid w:val="00904D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3522">
      <w:bodyDiv w:val="1"/>
      <w:marLeft w:val="0"/>
      <w:marRight w:val="0"/>
      <w:marTop w:val="0"/>
      <w:marBottom w:val="0"/>
      <w:divBdr>
        <w:top w:val="none" w:sz="0" w:space="0" w:color="auto"/>
        <w:left w:val="none" w:sz="0" w:space="0" w:color="auto"/>
        <w:bottom w:val="none" w:sz="0" w:space="0" w:color="auto"/>
        <w:right w:val="none" w:sz="0" w:space="0" w:color="auto"/>
      </w:divBdr>
    </w:div>
    <w:div w:id="14380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1511</Words>
  <Characters>8616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chiaraneive@gmail.com</dc:creator>
  <cp:lastModifiedBy>Silvia Procaccini</cp:lastModifiedBy>
  <cp:revision>22</cp:revision>
  <cp:lastPrinted>2022-04-19T11:38:00Z</cp:lastPrinted>
  <dcterms:created xsi:type="dcterms:W3CDTF">2022-04-19T08:01:00Z</dcterms:created>
  <dcterms:modified xsi:type="dcterms:W3CDTF">2022-04-20T08:14:00Z</dcterms:modified>
</cp:coreProperties>
</file>